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9B" w:rsidP="0015599B" w:rsidRDefault="0015599B">
      <w:pPr>
        <w:suppressLineNumbers/>
      </w:pPr>
      <w:bookmarkStart w:name="_GoBack" w:id="0"/>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43"/>
        <w:gridCol w:w="2506"/>
        <w:gridCol w:w="5571"/>
      </w:tblGrid>
      <w:tr w:rsidR="0015599B" w:rsidTr="0015599B">
        <w:trPr>
          <w:jc w:val="center"/>
        </w:trPr>
        <w:tc>
          <w:tcPr>
            <w:tcW w:w="743" w:type="dxa"/>
            <w:hideMark/>
          </w:tcPr>
          <w:p w:rsidR="0015599B" w:rsidRDefault="0015599B">
            <w:pPr>
              <w:suppressLineNumbers/>
              <w:jc w:val="both"/>
              <w:rPr>
                <w:rFonts w:ascii="Arial" w:hAnsi="Arial"/>
                <w:b/>
                <w:bCs/>
                <w:sz w:val="26"/>
                <w:szCs w:val="26"/>
              </w:rPr>
            </w:pPr>
            <w:r>
              <w:rPr>
                <w:rFonts w:ascii="Arial" w:hAnsi="Arial"/>
                <w:b/>
                <w:bCs/>
                <w:sz w:val="26"/>
                <w:szCs w:val="26"/>
                <w:rtl/>
              </w:rPr>
              <w:t xml:space="preserve">לפני </w:t>
            </w:r>
          </w:p>
        </w:tc>
        <w:tc>
          <w:tcPr>
            <w:tcW w:w="8077" w:type="dxa"/>
            <w:gridSpan w:val="2"/>
          </w:tcPr>
          <w:p w:rsidR="0015599B" w:rsidRDefault="0015599B">
            <w:pPr>
              <w:suppressLineNumbers/>
              <w:rPr>
                <w:rFonts w:ascii="Arial" w:hAnsi="Arial"/>
                <w:b/>
                <w:bCs/>
                <w:sz w:val="26"/>
                <w:szCs w:val="26"/>
              </w:rPr>
            </w:pPr>
            <w:r>
              <w:rPr>
                <w:rFonts w:ascii="Arial" w:hAnsi="Arial"/>
                <w:b/>
                <w:bCs/>
                <w:sz w:val="26"/>
                <w:szCs w:val="26"/>
                <w:rtl/>
              </w:rPr>
              <w:t>כבוד ה</w:t>
            </w:r>
            <w:sdt>
              <w:sdtPr>
                <w:rPr>
                  <w:sz w:val="26"/>
                  <w:szCs w:val="26"/>
                  <w:rtl/>
                </w:rPr>
                <w:alias w:val="1574"/>
                <w:tag w:val="1574"/>
                <w:id w:val="414602899"/>
                <w:text w:multiLine="1"/>
              </w:sdtPr>
              <w:sdtContent>
                <w:r>
                  <w:rPr>
                    <w:rFonts w:ascii="Arial" w:hAnsi="Arial"/>
                    <w:b/>
                    <w:bCs/>
                    <w:sz w:val="26"/>
                    <w:szCs w:val="26"/>
                    <w:rtl/>
                  </w:rPr>
                  <w:t>שופטת</w:t>
                </w:r>
              </w:sdtContent>
            </w:sdt>
            <w:r>
              <w:rPr>
                <w:rFonts w:ascii="Arial" w:hAnsi="Arial"/>
                <w:b/>
                <w:bCs/>
                <w:sz w:val="26"/>
                <w:szCs w:val="26"/>
                <w:rtl/>
              </w:rPr>
              <w:t xml:space="preserve"> </w:t>
            </w:r>
            <w:sdt>
              <w:sdtPr>
                <w:rPr>
                  <w:sz w:val="26"/>
                  <w:szCs w:val="26"/>
                  <w:rtl/>
                </w:rPr>
                <w:alias w:val="1573"/>
                <w:tag w:val="1573"/>
                <w:id w:val="-1751030614"/>
                <w:text w:multiLine="1"/>
              </w:sdtPr>
              <w:sdtContent>
                <w:r>
                  <w:rPr>
                    <w:rFonts w:ascii="Arial" w:hAnsi="Arial"/>
                    <w:b/>
                    <w:bCs/>
                    <w:sz w:val="26"/>
                    <w:szCs w:val="26"/>
                    <w:rtl/>
                  </w:rPr>
                  <w:t>פנינה נויבירט</w:t>
                </w:r>
              </w:sdtContent>
            </w:sdt>
          </w:p>
          <w:p w:rsidR="0015599B" w:rsidRDefault="0015599B">
            <w:pPr>
              <w:suppressLineNumbers/>
              <w:rPr>
                <w:rFonts w:ascii="Arial" w:hAnsi="Arial" w:cs="FrankRuehl"/>
                <w:sz w:val="26"/>
                <w:szCs w:val="26"/>
                <w:highlight w:val="yellow"/>
                <w:rtl/>
              </w:rPr>
            </w:pPr>
          </w:p>
        </w:tc>
      </w:tr>
      <w:tr w:rsidR="0015599B" w:rsidTr="0015599B">
        <w:trPr>
          <w:jc w:val="center"/>
        </w:trPr>
        <w:tc>
          <w:tcPr>
            <w:tcW w:w="3249" w:type="dxa"/>
            <w:gridSpan w:val="2"/>
          </w:tcPr>
          <w:p w:rsidR="0015599B" w:rsidRDefault="0015599B">
            <w:pPr>
              <w:suppressLineNumbers/>
              <w:rPr>
                <w:rFonts w:ascii="Arial" w:hAnsi="Arial"/>
                <w:b/>
                <w:bCs/>
                <w:noProof w:val="0"/>
                <w:sz w:val="26"/>
                <w:szCs w:val="26"/>
                <w:rtl/>
              </w:rPr>
            </w:pPr>
          </w:p>
          <w:sdt>
            <w:sdtPr>
              <w:rPr>
                <w:rFonts w:ascii="Arial" w:hAnsi="Arial"/>
                <w:b/>
                <w:bCs/>
                <w:noProof w:val="0"/>
                <w:sz w:val="26"/>
                <w:szCs w:val="26"/>
                <w:rtl/>
              </w:rPr>
              <w:alias w:val="1180"/>
              <w:tag w:val="1180"/>
              <w:id w:val="637458750"/>
              <w:text w:multiLine="1"/>
            </w:sdtPr>
            <w:sdtContent>
              <w:p w:rsidR="0015599B" w:rsidRDefault="0015599B">
                <w:pPr>
                  <w:suppressLineNumbers/>
                  <w:rPr>
                    <w:rFonts w:ascii="Arial" w:hAnsi="Arial"/>
                    <w:b/>
                    <w:bCs/>
                    <w:noProof w:val="0"/>
                    <w:sz w:val="26"/>
                    <w:szCs w:val="26"/>
                    <w:rtl/>
                  </w:rPr>
                </w:pPr>
                <w:r>
                  <w:rPr>
                    <w:rFonts w:ascii="Arial" w:hAnsi="Arial"/>
                    <w:b/>
                    <w:bCs/>
                    <w:noProof w:val="0"/>
                    <w:sz w:val="26"/>
                    <w:szCs w:val="26"/>
                    <w:rtl/>
                  </w:rPr>
                  <w:t>תובעים</w:t>
                </w:r>
              </w:p>
            </w:sdtContent>
          </w:sdt>
        </w:tc>
        <w:tc>
          <w:tcPr>
            <w:tcW w:w="5571" w:type="dxa"/>
          </w:tcPr>
          <w:p w:rsidR="0015599B" w:rsidRDefault="0015599B">
            <w:pPr>
              <w:suppressLineNumbers/>
              <w:rPr>
                <w:rFonts w:ascii="Arial" w:hAnsi="Arial"/>
                <w:b/>
                <w:bCs/>
                <w:noProof w:val="0"/>
                <w:sz w:val="26"/>
                <w:szCs w:val="26"/>
              </w:rPr>
            </w:pPr>
          </w:p>
          <w:p w:rsidR="0015599B" w:rsidRDefault="0015599B">
            <w:pPr>
              <w:suppressLineNumbers/>
              <w:rPr>
                <w:rFonts w:ascii="Arial" w:hAnsi="Arial"/>
                <w:b/>
                <w:bCs/>
                <w:noProof w:val="0"/>
                <w:sz w:val="26"/>
                <w:szCs w:val="26"/>
              </w:rPr>
            </w:pPr>
            <w:sdt>
              <w:sdtPr>
                <w:rPr>
                  <w:rFonts w:ascii="Arial" w:hAnsi="Arial"/>
                  <w:b/>
                  <w:bCs/>
                  <w:noProof w:val="0"/>
                  <w:sz w:val="26"/>
                  <w:szCs w:val="26"/>
                  <w:rtl/>
                </w:rPr>
                <w:alias w:val="3151"/>
                <w:tag w:val="3151"/>
                <w:id w:val="1398553265"/>
                <w:placeholder>
                  <w:docPart w:val="78B341F7CF9740D8BE0D8CF9789D3BDC"/>
                </w:placeholder>
                <w:text w:multiLine="1"/>
              </w:sdtPr>
              <w:sdtContent>
                <w:r>
                  <w:rPr>
                    <w:rFonts w:ascii="Arial" w:hAnsi="Arial"/>
                    <w:b/>
                    <w:bCs/>
                    <w:noProof w:val="0"/>
                    <w:sz w:val="26"/>
                    <w:szCs w:val="26"/>
                    <w:rtl/>
                  </w:rPr>
                  <w:t xml:space="preserve">1. יורשי עזבון המנוחה בת שבע ניגרי ז"ל </w:t>
                </w:r>
                <w:r>
                  <w:rPr>
                    <w:rFonts w:ascii="Arial" w:hAnsi="Arial"/>
                    <w:b/>
                    <w:bCs/>
                    <w:sz w:val="26"/>
                    <w:szCs w:val="26"/>
                    <w:rtl/>
                  </w:rPr>
                  <w:br/>
                  <w:t xml:space="preserve">2. אליהו דוד ניגרי </w:t>
                </w:r>
                <w:r>
                  <w:rPr>
                    <w:rFonts w:ascii="Arial" w:hAnsi="Arial"/>
                    <w:b/>
                    <w:bCs/>
                    <w:sz w:val="26"/>
                    <w:szCs w:val="26"/>
                    <w:rtl/>
                  </w:rPr>
                  <w:br/>
                  <w:t xml:space="preserve">3. שיראל ניגרי (קטינה) </w:t>
                </w:r>
                <w:r>
                  <w:rPr>
                    <w:rFonts w:ascii="Arial" w:hAnsi="Arial"/>
                    <w:b/>
                    <w:bCs/>
                    <w:sz w:val="26"/>
                    <w:szCs w:val="26"/>
                    <w:rtl/>
                  </w:rPr>
                  <w:br/>
                </w:r>
              </w:sdtContent>
            </w:sdt>
            <w:r>
              <w:rPr>
                <w:rFonts w:ascii="Arial" w:hAnsi="Arial"/>
                <w:noProof w:val="0"/>
                <w:rtl/>
              </w:rPr>
              <w:t xml:space="preserve">ע"י ב"כ עוה"ד אלידע הכהן ועוה"ד מרב כהן-ברזילי </w:t>
            </w:r>
          </w:p>
        </w:tc>
      </w:tr>
      <w:tr w:rsidR="0015599B" w:rsidTr="0015599B">
        <w:trPr>
          <w:jc w:val="center"/>
        </w:trPr>
        <w:tc>
          <w:tcPr>
            <w:tcW w:w="8820" w:type="dxa"/>
            <w:gridSpan w:val="3"/>
          </w:tcPr>
          <w:p w:rsidR="0015599B" w:rsidRDefault="0015599B">
            <w:pPr>
              <w:suppressLineNumbers/>
              <w:rPr>
                <w:rFonts w:ascii="Arial" w:hAnsi="Arial"/>
                <w:b/>
                <w:bCs/>
                <w:noProof w:val="0"/>
                <w:sz w:val="26"/>
                <w:szCs w:val="26"/>
                <w:rtl/>
              </w:rPr>
            </w:pPr>
          </w:p>
          <w:p w:rsidR="0015599B" w:rsidRDefault="0015599B">
            <w:pPr>
              <w:suppressLineNumbers/>
              <w:jc w:val="center"/>
              <w:rPr>
                <w:rFonts w:ascii="Arial" w:hAnsi="Arial"/>
                <w:b/>
                <w:bCs/>
                <w:noProof w:val="0"/>
                <w:sz w:val="26"/>
                <w:szCs w:val="26"/>
              </w:rPr>
            </w:pPr>
            <w:r>
              <w:rPr>
                <w:rFonts w:ascii="Arial" w:hAnsi="Arial"/>
                <w:b/>
                <w:bCs/>
                <w:noProof w:val="0"/>
                <w:sz w:val="26"/>
                <w:szCs w:val="26"/>
                <w:rtl/>
              </w:rPr>
              <w:t>נגד</w:t>
            </w:r>
          </w:p>
          <w:p w:rsidR="0015599B" w:rsidRDefault="0015599B">
            <w:pPr>
              <w:suppressLineNumbers/>
              <w:rPr>
                <w:rFonts w:ascii="Arial" w:hAnsi="Arial"/>
                <w:b/>
                <w:bCs/>
                <w:noProof w:val="0"/>
                <w:sz w:val="26"/>
                <w:szCs w:val="26"/>
              </w:rPr>
            </w:pPr>
          </w:p>
        </w:tc>
      </w:tr>
      <w:tr w:rsidR="0015599B" w:rsidTr="0015599B">
        <w:trPr>
          <w:jc w:val="center"/>
        </w:trPr>
        <w:tc>
          <w:tcPr>
            <w:tcW w:w="3249" w:type="dxa"/>
            <w:gridSpan w:val="2"/>
            <w:hideMark/>
          </w:tcPr>
          <w:p w:rsidR="0015599B" w:rsidRDefault="0015599B">
            <w:pPr>
              <w:suppressLineNumbers/>
              <w:rPr>
                <w:rFonts w:ascii="Arial" w:hAnsi="Arial"/>
                <w:b/>
                <w:bCs/>
                <w:noProof w:val="0"/>
                <w:sz w:val="26"/>
                <w:szCs w:val="26"/>
                <w:rtl/>
              </w:rPr>
            </w:pPr>
            <w:sdt>
              <w:sdtPr>
                <w:rPr>
                  <w:rtl/>
                </w:rPr>
                <w:alias w:val="1184"/>
                <w:tag w:val="1184"/>
                <w:id w:val="-340621022"/>
                <w:text w:multiLine="1"/>
              </w:sdtPr>
              <w:sdtContent>
                <w:r>
                  <w:rPr>
                    <w:rFonts w:ascii="Arial" w:hAnsi="Arial"/>
                    <w:b/>
                    <w:bCs/>
                    <w:noProof w:val="0"/>
                    <w:sz w:val="26"/>
                    <w:szCs w:val="26"/>
                    <w:rtl/>
                  </w:rPr>
                  <w:t>נתבעים</w:t>
                </w:r>
              </w:sdtContent>
            </w:sdt>
          </w:p>
        </w:tc>
        <w:tc>
          <w:tcPr>
            <w:tcW w:w="5571" w:type="dxa"/>
          </w:tcPr>
          <w:p w:rsidR="0015599B" w:rsidRDefault="0015599B">
            <w:pPr>
              <w:suppressLineNumbers/>
              <w:jc w:val="both"/>
              <w:rPr>
                <w:sz w:val="20"/>
                <w:szCs w:val="20"/>
                <w:rtl/>
              </w:rPr>
            </w:pPr>
            <w:sdt>
              <w:sdtPr>
                <w:rPr>
                  <w:rtl/>
                </w:rPr>
                <w:alias w:val="1571"/>
                <w:tag w:val="1571"/>
                <w:id w:val="1028836282"/>
                <w:text w:multiLine="1"/>
              </w:sdtPr>
              <w:sdtContent>
                <w:r>
                  <w:rPr>
                    <w:rFonts w:ascii="Arial" w:hAnsi="Arial"/>
                    <w:b/>
                    <w:bCs/>
                    <w:noProof w:val="0"/>
                    <w:sz w:val="26"/>
                    <w:szCs w:val="26"/>
                    <w:rtl/>
                  </w:rPr>
                  <w:t>1</w:t>
                </w:r>
              </w:sdtContent>
            </w:sdt>
            <w:r>
              <w:rPr>
                <w:rFonts w:ascii="Arial" w:hAnsi="Arial"/>
                <w:b/>
                <w:bCs/>
                <w:noProof w:val="0"/>
                <w:sz w:val="26"/>
                <w:szCs w:val="26"/>
                <w:rtl/>
              </w:rPr>
              <w:t xml:space="preserve">. </w:t>
            </w:r>
            <w:sdt>
              <w:sdtPr>
                <w:rPr>
                  <w:rFonts w:ascii="Arial" w:hAnsi="Arial"/>
                  <w:b/>
                  <w:bCs/>
                  <w:noProof w:val="0"/>
                  <w:sz w:val="26"/>
                  <w:szCs w:val="26"/>
                  <w:rtl/>
                </w:rPr>
                <w:alias w:val="3152"/>
                <w:tag w:val="3152"/>
                <w:id w:val="83269925"/>
                <w:placeholder>
                  <w:docPart w:val="CCAFDFDB1296405884B3AA03C01C9FF6"/>
                </w:placeholder>
                <w:text w:multiLine="1"/>
              </w:sdtPr>
              <w:sdtContent>
                <w:r>
                  <w:rPr>
                    <w:rFonts w:ascii="Arial" w:hAnsi="Arial"/>
                    <w:b/>
                    <w:bCs/>
                    <w:noProof w:val="0"/>
                    <w:sz w:val="26"/>
                    <w:szCs w:val="26"/>
                    <w:rtl/>
                  </w:rPr>
                  <w:t>הרשות הפלסטינית</w:t>
                </w:r>
              </w:sdtContent>
            </w:sdt>
            <w:r>
              <w:rPr>
                <w:sz w:val="20"/>
                <w:szCs w:val="20"/>
                <w:rtl/>
              </w:rPr>
              <w:t xml:space="preserve"> </w:t>
            </w:r>
          </w:p>
          <w:p w:rsidR="0015599B" w:rsidRDefault="0015599B">
            <w:pPr>
              <w:suppressLineNumbers/>
              <w:jc w:val="both"/>
              <w:rPr>
                <w:b/>
                <w:bCs/>
                <w:sz w:val="26"/>
                <w:szCs w:val="26"/>
                <w:rtl/>
              </w:rPr>
            </w:pPr>
            <w:r>
              <w:rPr>
                <w:b/>
                <w:bCs/>
                <w:sz w:val="26"/>
                <w:szCs w:val="26"/>
                <w:rtl/>
              </w:rPr>
              <w:t>2. ארגון השחרור הפלסטיני</w:t>
            </w:r>
          </w:p>
          <w:p w:rsidR="0015599B" w:rsidRDefault="0015599B">
            <w:pPr>
              <w:suppressLineNumbers/>
              <w:jc w:val="both"/>
              <w:rPr>
                <w:rFonts w:ascii="Arial" w:hAnsi="Arial"/>
                <w:noProof w:val="0"/>
                <w:rtl/>
              </w:rPr>
            </w:pPr>
            <w:r>
              <w:rPr>
                <w:rFonts w:ascii="Arial" w:hAnsi="Arial"/>
                <w:noProof w:val="0"/>
                <w:rtl/>
              </w:rPr>
              <w:t>ע"י ב"כ עוה"ד אריה כרמלי</w:t>
            </w:r>
          </w:p>
          <w:p w:rsidR="0015599B" w:rsidRDefault="0015599B">
            <w:pPr>
              <w:suppressLineNumbers/>
              <w:jc w:val="both"/>
              <w:rPr>
                <w:b/>
                <w:bCs/>
                <w:sz w:val="26"/>
                <w:szCs w:val="26"/>
                <w:rtl/>
              </w:rPr>
            </w:pPr>
          </w:p>
          <w:p w:rsidR="0015599B" w:rsidRDefault="0015599B">
            <w:pPr>
              <w:suppressLineNumbers/>
              <w:jc w:val="both"/>
              <w:rPr>
                <w:b/>
                <w:bCs/>
                <w:sz w:val="26"/>
                <w:szCs w:val="26"/>
                <w:rtl/>
              </w:rPr>
            </w:pPr>
            <w:r>
              <w:rPr>
                <w:b/>
                <w:bCs/>
                <w:sz w:val="26"/>
                <w:szCs w:val="26"/>
                <w:rtl/>
              </w:rPr>
              <w:t>3. פת"ח – ארגון לשחרור פלסטין (עניינו הסתיים)</w:t>
            </w:r>
          </w:p>
          <w:p w:rsidR="0015599B" w:rsidRDefault="0015599B">
            <w:pPr>
              <w:suppressLineNumbers/>
              <w:jc w:val="both"/>
              <w:rPr>
                <w:b/>
                <w:bCs/>
                <w:sz w:val="26"/>
                <w:szCs w:val="26"/>
                <w:rtl/>
              </w:rPr>
            </w:pPr>
            <w:r>
              <w:rPr>
                <w:b/>
                <w:bCs/>
                <w:sz w:val="26"/>
                <w:szCs w:val="26"/>
                <w:rtl/>
              </w:rPr>
              <w:t>4. ארגון החמאס (עניינו הסתיים)</w:t>
            </w:r>
          </w:p>
          <w:p w:rsidR="0015599B" w:rsidRDefault="0015599B">
            <w:pPr>
              <w:suppressLineNumbers/>
              <w:jc w:val="both"/>
              <w:rPr>
                <w:b/>
                <w:bCs/>
                <w:sz w:val="26"/>
                <w:szCs w:val="26"/>
                <w:rtl/>
              </w:rPr>
            </w:pPr>
            <w:r>
              <w:rPr>
                <w:b/>
                <w:bCs/>
                <w:sz w:val="26"/>
                <w:szCs w:val="26"/>
                <w:rtl/>
              </w:rPr>
              <w:t>5. מוחמד מוצטפא מוצבאח שנתיר (עניינו הסתיים)</w:t>
            </w:r>
          </w:p>
          <w:p w:rsidR="0015599B" w:rsidRDefault="0015599B">
            <w:pPr>
              <w:suppressLineNumbers/>
              <w:jc w:val="both"/>
              <w:rPr>
                <w:b/>
                <w:bCs/>
                <w:sz w:val="26"/>
                <w:szCs w:val="26"/>
                <w:rtl/>
              </w:rPr>
            </w:pPr>
            <w:r>
              <w:rPr>
                <w:b/>
                <w:bCs/>
                <w:sz w:val="26"/>
                <w:szCs w:val="26"/>
                <w:rtl/>
              </w:rPr>
              <w:t>6. סאקר (צקר) אכרם מצבאח שנתיר (עניינו הסתיים)</w:t>
            </w:r>
          </w:p>
          <w:p w:rsidR="0015599B" w:rsidRDefault="0015599B">
            <w:pPr>
              <w:suppressLineNumbers/>
              <w:jc w:val="both"/>
              <w:rPr>
                <w:b/>
                <w:bCs/>
                <w:sz w:val="26"/>
                <w:szCs w:val="26"/>
                <w:rtl/>
              </w:rPr>
            </w:pPr>
            <w:r>
              <w:rPr>
                <w:b/>
                <w:bCs/>
                <w:sz w:val="26"/>
                <w:szCs w:val="26"/>
                <w:rtl/>
              </w:rPr>
              <w:t>7. מוסטפא שנתיר (התביעה נמחקה)</w:t>
            </w:r>
          </w:p>
          <w:p w:rsidR="0015599B" w:rsidRDefault="0015599B">
            <w:pPr>
              <w:suppressLineNumbers/>
              <w:jc w:val="both"/>
              <w:rPr>
                <w:b/>
                <w:bCs/>
                <w:sz w:val="26"/>
                <w:szCs w:val="26"/>
                <w:rtl/>
              </w:rPr>
            </w:pPr>
            <w:r>
              <w:rPr>
                <w:b/>
                <w:bCs/>
                <w:sz w:val="26"/>
                <w:szCs w:val="26"/>
                <w:rtl/>
              </w:rPr>
              <w:t>8. אימאן שנתיר (התביעה נמחקה)</w:t>
            </w:r>
          </w:p>
          <w:p w:rsidR="0015599B" w:rsidRDefault="0015599B">
            <w:pPr>
              <w:suppressLineNumbers/>
              <w:jc w:val="both"/>
              <w:rPr>
                <w:b/>
                <w:bCs/>
                <w:sz w:val="26"/>
                <w:szCs w:val="26"/>
                <w:rtl/>
              </w:rPr>
            </w:pPr>
            <w:r>
              <w:rPr>
                <w:b/>
                <w:bCs/>
                <w:sz w:val="26"/>
                <w:szCs w:val="26"/>
                <w:rtl/>
              </w:rPr>
              <w:t>9. אכרם מוצבאח מוצטפא שנתיר (התביעה נמחקה)</w:t>
            </w:r>
          </w:p>
          <w:p w:rsidR="0015599B" w:rsidRDefault="0015599B">
            <w:pPr>
              <w:suppressLineNumbers/>
              <w:jc w:val="both"/>
              <w:rPr>
                <w:b/>
                <w:bCs/>
                <w:sz w:val="26"/>
                <w:szCs w:val="26"/>
                <w:rtl/>
              </w:rPr>
            </w:pPr>
            <w:r>
              <w:rPr>
                <w:b/>
                <w:bCs/>
                <w:sz w:val="26"/>
                <w:szCs w:val="26"/>
                <w:rtl/>
              </w:rPr>
              <w:t>10. סמאח עבדאלעזיז עבדאלסמיע שנתיר (התביעה נמחקה)</w:t>
            </w:r>
          </w:p>
        </w:tc>
      </w:tr>
      <w:tr w:rsidR="0015599B" w:rsidTr="0015599B">
        <w:trPr>
          <w:jc w:val="center"/>
        </w:trPr>
        <w:tc>
          <w:tcPr>
            <w:tcW w:w="8820" w:type="dxa"/>
            <w:gridSpan w:val="3"/>
            <w:hideMark/>
          </w:tcPr>
          <w:p w:rsidR="0015599B" w:rsidRDefault="0015599B">
            <w:pPr>
              <w:rPr>
                <w:b/>
                <w:bCs/>
                <w:sz w:val="26"/>
                <w:szCs w:val="26"/>
                <w:rtl/>
              </w:rPr>
            </w:pPr>
          </w:p>
        </w:tc>
      </w:tr>
      <w:tr w:rsidR="0015599B" w:rsidTr="0015599B">
        <w:trPr>
          <w:jc w:val="center"/>
        </w:trPr>
        <w:tc>
          <w:tcPr>
            <w:tcW w:w="3249" w:type="dxa"/>
            <w:gridSpan w:val="2"/>
          </w:tcPr>
          <w:p w:rsidR="0015599B" w:rsidRDefault="0015599B">
            <w:pPr>
              <w:rPr>
                <w:rFonts w:ascii="Arial" w:hAnsi="Arial"/>
                <w:b/>
                <w:bCs/>
                <w:noProof w:val="0"/>
                <w:sz w:val="26"/>
                <w:szCs w:val="26"/>
              </w:rPr>
            </w:pPr>
          </w:p>
        </w:tc>
        <w:tc>
          <w:tcPr>
            <w:tcW w:w="5571" w:type="dxa"/>
          </w:tcPr>
          <w:p w:rsidR="0015599B" w:rsidRDefault="0015599B">
            <w:pPr>
              <w:rPr>
                <w:rFonts w:ascii="Arial" w:hAnsi="Arial"/>
                <w:b/>
                <w:bCs/>
                <w:noProof w:val="0"/>
                <w:sz w:val="26"/>
                <w:szCs w:val="26"/>
                <w:rtl/>
              </w:rPr>
            </w:pPr>
          </w:p>
        </w:tc>
      </w:tr>
      <w:tr w:rsidR="0015599B" w:rsidTr="0015599B">
        <w:trPr>
          <w:jc w:val="center"/>
        </w:trPr>
        <w:tc>
          <w:tcPr>
            <w:tcW w:w="8820" w:type="dxa"/>
            <w:gridSpan w:val="3"/>
          </w:tcPr>
          <w:p w:rsidR="0015599B" w:rsidRDefault="0015599B">
            <w:pPr>
              <w:suppressLineNumbers/>
              <w:rPr>
                <w:rFonts w:ascii="Arial" w:hAnsi="Arial"/>
                <w:b/>
                <w:bCs/>
                <w:noProof w:val="0"/>
                <w:sz w:val="26"/>
                <w:szCs w:val="26"/>
                <w:rtl/>
              </w:rPr>
            </w:pPr>
          </w:p>
        </w:tc>
      </w:tr>
    </w:tbl>
    <w:p w:rsidR="0015599B" w:rsidP="0015599B" w:rsidRDefault="0015599B">
      <w:pPr>
        <w:suppressLineNumbers/>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0015599B" w:rsidTr="0015599B">
        <w:trPr>
          <w:jc w:val="center"/>
        </w:trPr>
        <w:tc>
          <w:tcPr>
            <w:tcW w:w="8820" w:type="dxa"/>
            <w:hideMark/>
          </w:tcPr>
          <w:p w:rsidR="0015599B" w:rsidRDefault="0015599B">
            <w:pPr>
              <w:bidi w:val="0"/>
              <w:jc w:val="center"/>
              <w:rPr>
                <w:rFonts w:ascii="Arial" w:hAnsi="Arial"/>
                <w:b/>
                <w:bCs/>
                <w:noProof w:val="0"/>
                <w:sz w:val="28"/>
                <w:szCs w:val="28"/>
                <w:u w:val="single"/>
              </w:rPr>
            </w:pPr>
            <w:r>
              <w:rPr>
                <w:rFonts w:ascii="Arial" w:hAnsi="Arial"/>
                <w:b/>
                <w:bCs/>
                <w:noProof w:val="0"/>
                <w:sz w:val="28"/>
                <w:szCs w:val="28"/>
                <w:u w:val="single"/>
                <w:rtl/>
              </w:rPr>
              <w:t>פסק דין חלקי</w:t>
            </w:r>
          </w:p>
        </w:tc>
      </w:tr>
    </w:tbl>
    <w:p w:rsidR="0015599B" w:rsidP="0015599B" w:rsidRDefault="0015599B">
      <w:pPr>
        <w:spacing w:line="360" w:lineRule="auto"/>
        <w:jc w:val="both"/>
        <w:rPr>
          <w:rFonts w:ascii="Arial" w:hAnsi="Arial"/>
          <w:noProof w:val="0"/>
          <w:rtl/>
        </w:rPr>
      </w:pPr>
      <w:bookmarkStart w:name="NGCSBookmark" w:id="1"/>
      <w:bookmarkEnd w:id="1"/>
    </w:p>
    <w:p w:rsidR="0015599B" w:rsidP="0015599B" w:rsidRDefault="0015599B">
      <w:pPr>
        <w:spacing w:line="360" w:lineRule="auto"/>
        <w:jc w:val="both"/>
        <w:rPr>
          <w:rFonts w:ascii="David" w:hAnsi="David"/>
          <w:rtl/>
        </w:rPr>
      </w:pPr>
      <w:r>
        <w:rPr>
          <w:rFonts w:ascii="David" w:hAnsi="David"/>
          <w:rtl/>
        </w:rPr>
        <w:t>בקשה למתן פסק דין חלקי לטובת יורשי עזבון המנוחה בת שבע ניגרי ז"ל (להלן: "התובעים"), ברכיב העונשי בתביעת נזיקין על פי חוק לפיצוי קורבנות טרור (פיצויים לדוגמה), תשמ"ד – 1984 (להלן: "חוק לפיצוי קורבנות טרור"), עקב מעשה טרור בו נרצחה המנוחה בת שבע ניגרי ז"ל (להלן:</w:t>
      </w:r>
      <w:r>
        <w:rPr>
          <w:rFonts w:ascii="David" w:hAnsi="David"/>
        </w:rPr>
        <w:t xml:space="preserve"> </w:t>
      </w:r>
      <w:r>
        <w:rPr>
          <w:rFonts w:ascii="David" w:hAnsi="David"/>
          <w:rtl/>
        </w:rPr>
        <w:t>"המנוחה").</w:t>
      </w:r>
    </w:p>
    <w:p w:rsidR="0015599B" w:rsidP="0015599B" w:rsidRDefault="0015599B">
      <w:pPr>
        <w:spacing w:line="360" w:lineRule="auto"/>
        <w:jc w:val="both"/>
        <w:rPr>
          <w:rFonts w:ascii="David" w:hAnsi="David"/>
          <w:rtl/>
        </w:rPr>
      </w:pPr>
    </w:p>
    <w:p w:rsidR="0015599B" w:rsidP="0015599B" w:rsidRDefault="0015599B">
      <w:pPr>
        <w:shd w:val="clear" w:color="auto" w:fill="FFFFFF"/>
        <w:ind w:left="368"/>
        <w:rPr>
          <w:rFonts w:cs="Times New Roman"/>
          <w:color w:val="000000"/>
          <w:sz w:val="27"/>
          <w:szCs w:val="27"/>
          <w:rtl/>
        </w:rPr>
      </w:pPr>
      <w:r>
        <w:rPr>
          <w:rFonts w:ascii="David" w:hAnsi="David"/>
          <w:b/>
          <w:bCs/>
          <w:color w:val="000000"/>
          <w:sz w:val="26"/>
          <w:szCs w:val="26"/>
          <w:u w:val="single"/>
          <w:rtl/>
        </w:rPr>
        <w:t>רקע כללי ותמצית טענות הצדדים</w:t>
      </w:r>
    </w:p>
    <w:p w:rsidR="0015599B" w:rsidP="0015599B" w:rsidRDefault="0015599B">
      <w:pPr>
        <w:spacing w:line="360" w:lineRule="auto"/>
        <w:jc w:val="both"/>
        <w:rPr>
          <w:rFonts w:hint="cs" w:ascii="David" w:hAnsi="David"/>
          <w:color w:val="000000"/>
          <w:rtl/>
        </w:rPr>
      </w:pPr>
    </w:p>
    <w:p w:rsidR="0015599B" w:rsidP="0015599B" w:rsidRDefault="0015599B">
      <w:pPr>
        <w:pStyle w:val="ad"/>
        <w:numPr>
          <w:ilvl w:val="0"/>
          <w:numId w:val="1"/>
        </w:numPr>
        <w:spacing w:after="0" w:line="360" w:lineRule="auto"/>
        <w:ind w:left="368"/>
        <w:jc w:val="both"/>
        <w:rPr>
          <w:rFonts w:ascii="David" w:hAnsi="David"/>
          <w:rtl/>
        </w:rPr>
      </w:pPr>
      <w:r>
        <w:rPr>
          <w:rFonts w:ascii="David" w:hAnsi="David" w:cs="David"/>
          <w:rtl/>
        </w:rPr>
        <w:t xml:space="preserve">ביום 21.8.23 התרחש פיגוע טרור בו נרצחה המנוחה. הפיגוע התרחש בסמוך ליישוב בית חגי, עת נסעה המנוחה, שהיתה גננת במקצועה, יחד עם ביתה בת ה- 12, לגן הילדים בו עבדה על מנת לארגנו לקראת תחילת שנת הלימודים. ברכב בו נסעו המנוחה וביתה נהג מר אריה גוטליב. בהגיע הרכב לצומת הכבשים בסמיכות לבית חגי, ירו הנתבעים 5 – 6 (להלן: "המפגעים") על הרכב הנוסע 28 כדורים, הרגו את המנוחה בנוכחות ביתה, ופצעו קשה את נהג הרכב. </w:t>
      </w:r>
    </w:p>
    <w:p w:rsidR="0015599B" w:rsidP="0015599B" w:rsidRDefault="0015599B">
      <w:pPr>
        <w:pStyle w:val="ad"/>
        <w:spacing w:after="0" w:line="360" w:lineRule="auto"/>
        <w:ind w:left="368"/>
        <w:jc w:val="both"/>
        <w:rPr>
          <w:rFonts w:ascii="David" w:hAnsi="David"/>
        </w:rPr>
      </w:pPr>
    </w:p>
    <w:p w:rsidR="0015599B" w:rsidP="0015599B" w:rsidRDefault="0015599B">
      <w:pPr>
        <w:pStyle w:val="ad"/>
        <w:numPr>
          <w:ilvl w:val="0"/>
          <w:numId w:val="1"/>
        </w:numPr>
        <w:spacing w:after="0" w:line="360" w:lineRule="auto"/>
        <w:jc w:val="both"/>
        <w:rPr>
          <w:rFonts w:ascii="David" w:hAnsi="David" w:cs="David"/>
        </w:rPr>
      </w:pPr>
      <w:r>
        <w:rPr>
          <w:rFonts w:ascii="David" w:hAnsi="David" w:cs="David"/>
          <w:color w:val="000000"/>
          <w:shd w:val="clear" w:color="auto" w:fill="FFFFFF"/>
          <w:rtl/>
        </w:rPr>
        <w:t>המפגעים הורשעו בבית המשפט הצבאי יהודה והוטלו עליהם מאסרי עולם‏ (‏(פסיקה צבאית יהודה‏)‏ 9838/23  </w:t>
      </w:r>
      <w:r>
        <w:rPr>
          <w:rFonts w:ascii="David" w:hAnsi="David" w:cs="David"/>
          <w:i/>
          <w:iCs/>
          <w:color w:val="000000"/>
          <w:shd w:val="clear" w:color="auto" w:fill="FFFFFF"/>
          <w:rtl/>
        </w:rPr>
        <w:t>התביעה הצבאית נ' שנתיר</w:t>
      </w:r>
      <w:r>
        <w:rPr>
          <w:rFonts w:ascii="David" w:hAnsi="David" w:cs="David"/>
          <w:color w:val="000000"/>
          <w:shd w:val="clear" w:color="auto" w:fill="FFFFFF"/>
          <w:rtl/>
        </w:rPr>
        <w:t xml:space="preserve"> ‏(‏27.5.2025‏)‏‏). </w:t>
      </w:r>
      <w:r>
        <w:rPr>
          <w:rFonts w:ascii="David" w:hAnsi="David" w:cs="David"/>
          <w:rtl/>
        </w:rPr>
        <w:t xml:space="preserve">ביום 17.12.24 ניתן פסק דין בהיעדר הגנה הנגד נתבעים 3 – 6 לטובת התובעת 1, וביום 8.2.26 ניתן פסק דין חלקי נגדם לטובת התובעים 3,2 ו-6. </w:t>
      </w:r>
    </w:p>
    <w:p w:rsidR="0015599B" w:rsidP="0015599B" w:rsidRDefault="0015599B">
      <w:pPr>
        <w:spacing w:line="360" w:lineRule="auto"/>
        <w:jc w:val="both"/>
        <w:rPr>
          <w:rFonts w:ascii="David" w:hAnsi="David"/>
        </w:rPr>
      </w:pPr>
    </w:p>
    <w:p w:rsidR="0015599B" w:rsidP="0015599B" w:rsidRDefault="0015599B">
      <w:pPr>
        <w:pStyle w:val="ad"/>
        <w:spacing w:after="0" w:line="360" w:lineRule="auto"/>
        <w:ind w:left="360"/>
        <w:jc w:val="both"/>
        <w:rPr>
          <w:rFonts w:ascii="David" w:hAnsi="David" w:cs="David"/>
          <w:color w:val="000000"/>
        </w:rPr>
      </w:pPr>
      <w:r>
        <w:rPr>
          <w:rFonts w:ascii="David" w:hAnsi="David" w:cs="David"/>
          <w:color w:val="000000"/>
          <w:rtl/>
        </w:rPr>
        <w:t>ביום 10.2.26 הגישו התובעים בקשתם זו למתן פסק דין חלקי לחיוב הנתבעים, הרשות הפלסטינית וארגון השחרור הפלסטיני, בפיצוי לדוגמה של יורשי העזבון בסך של 10,000,000 ₪, בהתאם לסעיף 2(א) לחוק, לצד הפיצוי התרופתי שיתברר בהמשך ההליך. תובעת נוספת בהליך היא אמה של המנוחה, שאינה נמנית על יורשי העזבון בעניינם ניתן פסק דין חלקי זה.</w:t>
      </w:r>
    </w:p>
    <w:p w:rsidR="0015599B" w:rsidP="0015599B" w:rsidRDefault="0015599B">
      <w:pPr>
        <w:spacing w:line="360" w:lineRule="auto"/>
        <w:jc w:val="both"/>
        <w:rPr>
          <w:rFonts w:ascii="David" w:hAnsi="David"/>
          <w:color w:val="000000"/>
        </w:rPr>
      </w:pPr>
    </w:p>
    <w:p w:rsidR="0015599B" w:rsidP="0015599B" w:rsidRDefault="0015599B">
      <w:pPr>
        <w:pStyle w:val="ad"/>
        <w:numPr>
          <w:ilvl w:val="0"/>
          <w:numId w:val="1"/>
        </w:numPr>
        <w:spacing w:after="0" w:line="360" w:lineRule="auto"/>
        <w:ind w:left="368"/>
        <w:jc w:val="both"/>
        <w:rPr>
          <w:rFonts w:ascii="David" w:hAnsi="David" w:cs="David"/>
        </w:rPr>
      </w:pPr>
      <w:r>
        <w:rPr>
          <w:rFonts w:ascii="David" w:hAnsi="David" w:cs="David"/>
          <w:rtl/>
        </w:rPr>
        <w:t>לטענת התובעים במקרה זה מתקיימים התנאים המבססים זכאותם לפיצוי עונשי. הנתבעים 5 – 6 הורשעו בפלילים בגין גרימת מותה בכוונה של המנוחה ובניסיון לגרום למותה בכוונה של בת המנוחה ואדם נוסף על רקע לאומני, כך שהוכח כי אירע במקרה זה מעשה טרור כהגדרתו בחוק המאבק בטרור, התשע"ו-2016, וכן כי מעשה הטרור גרם למותה של המנוחה. באשר לרכיב גמול הטרור טענו התובעים כי הנתבעים הודו במסגרת ההליכים המקדמיים כי שילמו למשפחות הנתבעים 5 – 6 תשלומים, זאת עד לביטול החקיקה בחודש פברואר 2025. לדברי התובעים, בנסיבות העניין מתקיים מבחן "סיכויי הגנה אפסיים" מכוחו קמה עילה למתן פסק דין כנגד הנתבעים בגין רכיב הפיצוי העונשי כבר בשלב מקדמי זה (בע"מ 7367/22 </w:t>
      </w:r>
      <w:r>
        <w:rPr>
          <w:rFonts w:ascii="David" w:hAnsi="David" w:cs="David"/>
          <w:i/>
          <w:iCs/>
          <w:rtl/>
        </w:rPr>
        <w:t>פלונית נ' פלונית </w:t>
      </w:r>
      <w:r>
        <w:rPr>
          <w:rFonts w:ascii="David" w:hAnsi="David" w:cs="David"/>
          <w:rtl/>
        </w:rPr>
        <w:t xml:space="preserve">(26.1.23)). </w:t>
      </w:r>
    </w:p>
    <w:p w:rsidR="0015599B" w:rsidP="0015599B" w:rsidRDefault="0015599B">
      <w:pPr>
        <w:pStyle w:val="ad"/>
        <w:spacing w:after="0" w:line="360" w:lineRule="auto"/>
        <w:ind w:left="368"/>
        <w:jc w:val="both"/>
        <w:rPr>
          <w:rFonts w:ascii="David" w:hAnsi="David" w:cs="David"/>
          <w:color w:val="FF0000"/>
        </w:rPr>
      </w:pPr>
    </w:p>
    <w:p w:rsidR="0015599B" w:rsidP="0015599B" w:rsidRDefault="0015599B">
      <w:pPr>
        <w:pStyle w:val="ad"/>
        <w:spacing w:after="0" w:line="360" w:lineRule="auto"/>
        <w:ind w:left="368"/>
        <w:jc w:val="both"/>
        <w:rPr>
          <w:rFonts w:ascii="David" w:hAnsi="David" w:cs="David"/>
          <w:rtl/>
        </w:rPr>
      </w:pPr>
      <w:r>
        <w:rPr>
          <w:rFonts w:ascii="David" w:hAnsi="David" w:cs="David"/>
          <w:rtl/>
        </w:rPr>
        <w:t xml:space="preserve">התובעים הפנו לשורה של פסקי דין חלקיים שניתנו בבית המשפט המחוזי בנסיבות דומות, בהם נפסק כי עצם העברת תשלום בפועל על ידי הרשות הפלסטינית למפגע מקים לרשות חבות מכוח סעיפים 12 - 14 לפקודת הנזיקין [נוסח חדש], באופן בלתי תלוי בשאלת מעמדה של הרשות הפלסטינית כמתגמלת טרור, כך שמתייתר דיון בסוגיית מעמדה של הרשות הפלסטינית ככזו. פסקי דין אלה קבעו כי לפי סעיף 4 לחוק לפיצוי קורבנות טרור תחולת החוק היא רטרואקטיבית, וכן אישרו את גובה סכומי הפיצוי העונשי המעוגנים בחוק. </w:t>
      </w:r>
    </w:p>
    <w:p w:rsidR="0015599B" w:rsidP="0015599B" w:rsidRDefault="0015599B">
      <w:pPr>
        <w:pStyle w:val="ad"/>
        <w:spacing w:after="0" w:line="360" w:lineRule="auto"/>
        <w:ind w:left="368"/>
        <w:jc w:val="both"/>
        <w:rPr>
          <w:rFonts w:ascii="David" w:hAnsi="David" w:cs="David"/>
          <w:color w:val="FF0000"/>
          <w:rtl/>
        </w:rPr>
      </w:pPr>
    </w:p>
    <w:p w:rsidR="0015599B" w:rsidP="0015599B" w:rsidRDefault="0015599B">
      <w:pPr>
        <w:pStyle w:val="ad"/>
        <w:spacing w:after="0" w:line="360" w:lineRule="auto"/>
        <w:ind w:left="368"/>
        <w:jc w:val="both"/>
        <w:rPr>
          <w:rFonts w:ascii="David" w:hAnsi="David" w:cs="David"/>
          <w:rtl/>
        </w:rPr>
      </w:pPr>
      <w:r>
        <w:rPr>
          <w:rFonts w:ascii="David" w:hAnsi="David" w:cs="David"/>
          <w:rtl/>
        </w:rPr>
        <w:t>התובעים טענו כי אין תחולה רטרואקטיבית לצו הנשיאותי מכוחו הפסיקה הרשות הפלסטינית, על פי טענתה, את תשלומי האסירים. בהתאם לפסיקה עקבית, אין בכוחו של שינוי החקיקה כדי לאיין חבות בגין תשלומים שבוצעו בעבר, ותחולתו של שינוי כאמור היא, לכל היותר, צופה פני עתיד ביחס למעשי טרור עתידיים</w:t>
      </w:r>
      <w:r>
        <w:rPr>
          <w:rFonts w:ascii="David" w:hAnsi="David" w:cs="David"/>
        </w:rPr>
        <w:t>.</w:t>
      </w:r>
      <w:r>
        <w:rPr>
          <w:rFonts w:ascii="David" w:hAnsi="David" w:cs="David"/>
          <w:rtl/>
        </w:rPr>
        <w:t xml:space="preserve"> </w:t>
      </w:r>
      <w:r>
        <w:rPr>
          <w:rFonts w:hint="cs" w:ascii="David" w:hAnsi="David" w:cs="David"/>
          <w:rtl/>
        </w:rPr>
        <w:t xml:space="preserve">עוד נטען כי הצו הנשיאותי הוצא כ"מס שפתיים" בלבד, כעולה בין היתר מהתבטאויותיו של יו"ר הרשות הפלסטינית לאחר השינוי הנטען, וכן ממחקרו של מכון המחקר "מבט לתקשורת הפלסטינית" ומכתבה המציגה דו"ח </w:t>
      </w:r>
      <w:r>
        <w:rPr>
          <w:rFonts w:hint="cs" w:ascii="David" w:hAnsi="David" w:cs="David"/>
          <w:rtl/>
        </w:rPr>
        <w:lastRenderedPageBreak/>
        <w:t>שהגיש צה"ל לשר הביטחון, שלפיהם תשלומים לאסירים המשיכו להתבצע גם לאחר השינוי הנטען</w:t>
      </w:r>
      <w:r>
        <w:rPr>
          <w:rFonts w:ascii="David" w:hAnsi="David" w:cs="David"/>
        </w:rPr>
        <w:t>.</w:t>
      </w:r>
    </w:p>
    <w:p w:rsidR="0015599B" w:rsidP="0015599B" w:rsidRDefault="0015599B">
      <w:pPr>
        <w:pStyle w:val="ad"/>
        <w:spacing w:after="0" w:line="360" w:lineRule="auto"/>
        <w:ind w:left="368"/>
        <w:jc w:val="both"/>
        <w:rPr>
          <w:rFonts w:ascii="David" w:hAnsi="David" w:cs="David"/>
          <w:rtl/>
        </w:rPr>
      </w:pPr>
    </w:p>
    <w:p w:rsidR="0015599B" w:rsidP="0015599B" w:rsidRDefault="0015599B">
      <w:pPr>
        <w:pStyle w:val="ad"/>
        <w:spacing w:after="0" w:line="360" w:lineRule="auto"/>
        <w:ind w:left="368"/>
        <w:jc w:val="both"/>
        <w:rPr>
          <w:rFonts w:ascii="David" w:hAnsi="David" w:cs="David"/>
          <w:rtl/>
        </w:rPr>
      </w:pPr>
      <w:r>
        <w:rPr>
          <w:rFonts w:ascii="David" w:hAnsi="David" w:cs="David"/>
          <w:rtl/>
        </w:rPr>
        <w:t>כמו כן נטען כי קיים בתיק מעשה בית דין של השתק פלוגתא בשל פסק הדין החלקי שניתן בת"א 22169-05-25, אשר קבע את חבותה של הרשות הפלסטינית לנזק שנגרם לנהג הרכב בפיגוע הטרור מושא התביעה, וחייב את הנתבעים בפיצויים לדוגמה בסך של 5 מיליון ₪. לטענתם, פסק הדין מהווה השתק פלוגתא בשאלת אחריות הנתבעים לפיגוע, ומחייב את הצדדים גם בהליך דנן.</w:t>
      </w:r>
    </w:p>
    <w:p w:rsidR="0015599B" w:rsidP="0015599B" w:rsidRDefault="0015599B">
      <w:pPr>
        <w:pStyle w:val="ad"/>
        <w:spacing w:after="0" w:line="360" w:lineRule="auto"/>
        <w:ind w:left="368"/>
        <w:jc w:val="both"/>
        <w:rPr>
          <w:rFonts w:ascii="David" w:hAnsi="David" w:cs="David"/>
          <w:color w:val="FF0000"/>
        </w:rPr>
      </w:pPr>
    </w:p>
    <w:p w:rsidR="0015599B" w:rsidP="0015599B" w:rsidRDefault="0015599B">
      <w:pPr>
        <w:pStyle w:val="ad"/>
        <w:numPr>
          <w:ilvl w:val="0"/>
          <w:numId w:val="1"/>
        </w:numPr>
        <w:spacing w:after="0" w:line="360" w:lineRule="auto"/>
        <w:ind w:left="368"/>
        <w:jc w:val="both"/>
        <w:rPr>
          <w:rFonts w:ascii="David" w:hAnsi="David" w:cs="David"/>
          <w:color w:val="FF0000"/>
          <w:rtl/>
        </w:rPr>
      </w:pPr>
      <w:r>
        <w:rPr>
          <w:rFonts w:ascii="David" w:hAnsi="David" w:cs="David"/>
          <w:shd w:val="clear" w:color="auto" w:fill="FFFFFF"/>
          <w:rtl/>
        </w:rPr>
        <w:t xml:space="preserve">הנתבעים אישרו כי בעבר שילמו למשפחות נתבעים 5 – 6, אך טענו כי </w:t>
      </w:r>
      <w:r>
        <w:rPr>
          <w:rFonts w:ascii="David" w:hAnsi="David" w:cs="David"/>
          <w:rtl/>
        </w:rPr>
        <w:t xml:space="preserve">הבקשה למתן פסק דין חלקי אינה בשלה, הוגשה בשלב מקדמי של ההליך ודינה להידחות. עוד נטען, כי מאחר שטרם הוכחה זהותו של מבצע פעולת הטרור וטרם נקבעה אחריותה של הרשות הפלסטינית ביחס למבצע פעולת הטרור, לא הוכחה העילה מכוח חוק לפיצוי קורבנות טרור. כמו כן נטען כי יש לברר את שאלת גובה הפיצויים ביחס לרמת מעורבותם, תוך מתן משקל לשינוי המדיניות של הרשות הפלסטינית. </w:t>
      </w:r>
    </w:p>
    <w:p w:rsidR="0015599B" w:rsidP="0015599B" w:rsidRDefault="0015599B">
      <w:pPr>
        <w:pStyle w:val="ad"/>
        <w:spacing w:after="0" w:line="360" w:lineRule="auto"/>
        <w:ind w:left="368"/>
        <w:jc w:val="both"/>
        <w:rPr>
          <w:rFonts w:ascii="David" w:hAnsi="David" w:cs="David"/>
        </w:rPr>
      </w:pPr>
    </w:p>
    <w:p w:rsidR="0015599B" w:rsidP="0015599B" w:rsidRDefault="0015599B">
      <w:pPr>
        <w:pStyle w:val="ad"/>
        <w:spacing w:after="0" w:line="360" w:lineRule="auto"/>
        <w:ind w:left="368"/>
        <w:jc w:val="both"/>
        <w:rPr>
          <w:rFonts w:ascii="David" w:hAnsi="David" w:cs="David"/>
          <w:rtl/>
        </w:rPr>
      </w:pPr>
      <w:r>
        <w:rPr>
          <w:rFonts w:ascii="David" w:hAnsi="David" w:cs="David"/>
          <w:rtl/>
        </w:rPr>
        <w:t xml:space="preserve">לדברי הנתבעים, תשלומי האסירים ששולמו בעבר למעורבים בפיגוע או לבני משפחותיהם בוצעו מכוח חקיקה שהיתה קיימת בשטח הרשות הפלסטינית נכון לאותה עת. ברם בשינוי החקיקה בשטחי הרשות הפלסטינית החל מיום 10.2.2025, בוטל מערך התשלומים הקודם ונוצר מנגנון תמיכה וסיוע סוציאלי חדש. משהופסקו התשלומים לא מועבר על ידי הרשות הפלסטינית תגמול בפועל למבצע טרור ונסתרת החזקה שבחוק לפיצוי קורבנות טרור, כך שאין לראות את הרשות הפלסטינית עוד כמתגמלת טרור. </w:t>
      </w:r>
    </w:p>
    <w:p w:rsidR="0015599B" w:rsidP="0015599B" w:rsidRDefault="0015599B">
      <w:pPr>
        <w:pStyle w:val="ad"/>
        <w:spacing w:after="0" w:line="360" w:lineRule="auto"/>
        <w:ind w:left="368"/>
        <w:jc w:val="both"/>
        <w:rPr>
          <w:rFonts w:ascii="David" w:hAnsi="David" w:cs="David"/>
        </w:rPr>
      </w:pPr>
    </w:p>
    <w:p w:rsidR="0015599B" w:rsidP="0015599B" w:rsidRDefault="0015599B">
      <w:pPr>
        <w:pStyle w:val="ad"/>
        <w:spacing w:after="0" w:line="360" w:lineRule="auto"/>
        <w:ind w:left="368"/>
        <w:jc w:val="both"/>
        <w:rPr>
          <w:rFonts w:ascii="David" w:hAnsi="David" w:cs="David"/>
          <w:rtl/>
        </w:rPr>
      </w:pPr>
      <w:r>
        <w:rPr>
          <w:rFonts w:ascii="David" w:hAnsi="David" w:cs="David"/>
          <w:rtl/>
        </w:rPr>
        <w:t>הנתבעים טענו כי כעת יש לבחון את שאלת האחריות ואת "חלופת המאשרר" ביחס לחוק החדש, וכי מתן פסק דין מכוח חוק לפיצוי קורבנות טרור שעה שהופסקו התשלומים למעורבים במעשה הטרור, יהיה בגדר החלה רטרואקטיבית אסורה. ככל שהחוק מתיימר לחול רטרואקטיבית, אזי יש להחיל רטרואקטיבית גם את נפקות ביטול התשלומים בפועל.</w:t>
      </w:r>
    </w:p>
    <w:p w:rsidR="0015599B" w:rsidP="0015599B" w:rsidRDefault="0015599B">
      <w:pPr>
        <w:pStyle w:val="ad"/>
        <w:spacing w:after="0" w:line="360" w:lineRule="auto"/>
        <w:ind w:left="368"/>
        <w:jc w:val="both"/>
        <w:rPr>
          <w:rFonts w:ascii="David" w:hAnsi="David" w:cs="David"/>
          <w:color w:val="FF0000"/>
        </w:rPr>
      </w:pPr>
    </w:p>
    <w:p w:rsidR="0015599B" w:rsidP="0015599B" w:rsidRDefault="0015599B">
      <w:pPr>
        <w:pStyle w:val="ad"/>
        <w:numPr>
          <w:ilvl w:val="0"/>
          <w:numId w:val="1"/>
        </w:numPr>
        <w:spacing w:after="0" w:line="360" w:lineRule="auto"/>
        <w:ind w:left="368"/>
        <w:jc w:val="both"/>
        <w:rPr>
          <w:rFonts w:ascii="David" w:hAnsi="David" w:cs="David"/>
          <w:rtl/>
        </w:rPr>
      </w:pPr>
      <w:r>
        <w:rPr>
          <w:rFonts w:ascii="David" w:hAnsi="David" w:cs="David"/>
          <w:rtl/>
        </w:rPr>
        <w:t>הנתבעים תיארו את אופיו "החריג" של חוק לפיצוי קורבנות טרור, על השאלות שיישומו מעלה ועל הקשיים בתחולתו הרטרואקטיבית. הם עמדו על הכרעה בסוגיות אלה בהליך דנן.</w:t>
      </w:r>
      <w:r>
        <w:rPr>
          <w:rFonts w:ascii="David" w:hAnsi="David" w:cs="David"/>
        </w:rPr>
        <w:t xml:space="preserve"> </w:t>
      </w:r>
      <w:r>
        <w:rPr>
          <w:rFonts w:ascii="David" w:hAnsi="David" w:cs="David"/>
          <w:rtl/>
        </w:rPr>
        <w:t xml:space="preserve">בנוסף נטען כי החזקה הקבועה בחוק לפיצוי קורבנות טרור לפיה הרשות הפלסטינית היא מתגמלת טרור ניתנת לסתירה, וכי הנתבעים מעוניינים להגיש ראיות לסתירת חזקה זו. </w:t>
      </w:r>
    </w:p>
    <w:p w:rsidR="0015599B" w:rsidP="0015599B" w:rsidRDefault="0015599B">
      <w:pPr>
        <w:pStyle w:val="ad"/>
        <w:spacing w:after="0" w:line="360" w:lineRule="auto"/>
        <w:ind w:left="368"/>
        <w:jc w:val="both"/>
        <w:rPr>
          <w:rFonts w:ascii="David" w:hAnsi="David" w:cs="David"/>
          <w:color w:val="FF0000"/>
          <w:rtl/>
        </w:rPr>
      </w:pPr>
    </w:p>
    <w:p w:rsidR="0015599B" w:rsidP="0015599B" w:rsidRDefault="0015599B">
      <w:pPr>
        <w:pStyle w:val="ad"/>
        <w:spacing w:after="0" w:line="360" w:lineRule="auto"/>
        <w:ind w:left="368"/>
        <w:jc w:val="both"/>
        <w:rPr>
          <w:rFonts w:ascii="David" w:hAnsi="David" w:cs="David"/>
        </w:rPr>
      </w:pPr>
      <w:r>
        <w:rPr>
          <w:rFonts w:ascii="David" w:hAnsi="David" w:cs="David"/>
          <w:rtl/>
        </w:rPr>
        <w:lastRenderedPageBreak/>
        <w:t>לחילופין, עתרו הנתבעים כי בית המשפט יעכב את החלטתו לאור כך ששאלת החלתו הרטרואקטיבית של חוק לפיצוי קורבנות טרור תלויה ועומדת בבית המשפט העליון.</w:t>
      </w:r>
    </w:p>
    <w:p w:rsidR="0015599B" w:rsidP="0015599B" w:rsidRDefault="0015599B">
      <w:pPr>
        <w:pStyle w:val="ad"/>
        <w:spacing w:after="0" w:line="360" w:lineRule="auto"/>
        <w:ind w:left="360"/>
        <w:jc w:val="both"/>
        <w:rPr>
          <w:rFonts w:ascii="David" w:hAnsi="David" w:cs="David"/>
        </w:rPr>
      </w:pPr>
    </w:p>
    <w:p w:rsidR="0015599B" w:rsidP="0015599B" w:rsidRDefault="0015599B">
      <w:pPr>
        <w:spacing w:line="360" w:lineRule="auto"/>
        <w:ind w:left="368"/>
        <w:jc w:val="both"/>
        <w:rPr>
          <w:rFonts w:ascii="David" w:hAnsi="David"/>
          <w:b/>
          <w:bCs/>
          <w:sz w:val="26"/>
          <w:szCs w:val="26"/>
          <w:u w:val="single"/>
        </w:rPr>
      </w:pPr>
      <w:r>
        <w:rPr>
          <w:rFonts w:ascii="David" w:hAnsi="David"/>
          <w:b/>
          <w:bCs/>
          <w:sz w:val="26"/>
          <w:szCs w:val="26"/>
          <w:u w:val="single"/>
          <w:rtl/>
        </w:rPr>
        <w:t>דיון והכרעה</w:t>
      </w:r>
    </w:p>
    <w:p w:rsidR="0015599B" w:rsidP="0015599B" w:rsidRDefault="0015599B">
      <w:pPr>
        <w:pStyle w:val="ad"/>
        <w:spacing w:after="0" w:line="360" w:lineRule="auto"/>
        <w:ind w:left="368"/>
        <w:jc w:val="both"/>
        <w:rPr>
          <w:rFonts w:ascii="David" w:hAnsi="David" w:cs="David"/>
          <w:rtl/>
        </w:rPr>
      </w:pPr>
    </w:p>
    <w:p w:rsidR="0015599B" w:rsidP="0015599B" w:rsidRDefault="0015599B">
      <w:pPr>
        <w:pStyle w:val="ad"/>
        <w:numPr>
          <w:ilvl w:val="0"/>
          <w:numId w:val="1"/>
        </w:numPr>
        <w:spacing w:after="0" w:line="360" w:lineRule="auto"/>
        <w:ind w:left="368"/>
        <w:jc w:val="both"/>
        <w:rPr>
          <w:rFonts w:ascii="David" w:hAnsi="David" w:cs="David"/>
          <w:rtl/>
        </w:rPr>
      </w:pPr>
      <w:r>
        <w:rPr>
          <w:rFonts w:ascii="David" w:hAnsi="David" w:cs="David"/>
          <w:rtl/>
        </w:rPr>
        <w:t xml:space="preserve">לאחר שעיינתי בטענות הצדדים הגעתי לכלל מסקנה כי דין הבקשה למתן פסק דין חלקי בעילת הפיצוי העונשי להתקבל. </w:t>
      </w:r>
    </w:p>
    <w:p w:rsidR="0015599B" w:rsidP="0015599B" w:rsidRDefault="0015599B">
      <w:pPr>
        <w:pStyle w:val="ad"/>
        <w:spacing w:after="0" w:line="360" w:lineRule="auto"/>
        <w:ind w:left="368"/>
        <w:jc w:val="both"/>
        <w:rPr>
          <w:rFonts w:ascii="David" w:hAnsi="David" w:cs="David"/>
          <w:color w:val="FF0000"/>
        </w:rPr>
      </w:pPr>
    </w:p>
    <w:p w:rsidR="0015599B" w:rsidP="0015599B" w:rsidRDefault="0015599B">
      <w:pPr>
        <w:pStyle w:val="ad"/>
        <w:spacing w:after="0" w:line="360" w:lineRule="auto"/>
        <w:ind w:left="368"/>
        <w:jc w:val="both"/>
        <w:rPr>
          <w:rFonts w:ascii="David" w:hAnsi="David" w:cs="David"/>
          <w:rtl/>
        </w:rPr>
      </w:pPr>
      <w:r>
        <w:rPr>
          <w:rFonts w:ascii="David" w:hAnsi="David" w:cs="David"/>
          <w:rtl/>
        </w:rPr>
        <w:t>פסק דין חלקי יינתן מקום בו מוצה בירורן של הסוגיות הטעונות הכרעה, ובמקרה של מחלוקות עובדתיות בין הצדדים – כאשר ברור כי שמיעת הראיות לא תניב תועלת משפטית (רע"א 246/24 </w:t>
      </w:r>
      <w:r>
        <w:rPr>
          <w:rFonts w:ascii="David" w:hAnsi="David" w:cs="David"/>
          <w:i/>
          <w:iCs/>
        </w:rPr>
        <w:t>Hero Investment and Trading Corp</w:t>
      </w:r>
      <w:r>
        <w:rPr>
          <w:rFonts w:ascii="David" w:hAnsi="David" w:cs="David"/>
          <w:i/>
          <w:iCs/>
          <w:rtl/>
        </w:rPr>
        <w:t> </w:t>
      </w:r>
      <w:r>
        <w:rPr>
          <w:rFonts w:ascii="David" w:hAnsi="David" w:cs="David"/>
          <w:i/>
          <w:iCs/>
        </w:rPr>
        <w:t> </w:t>
      </w:r>
      <w:r>
        <w:rPr>
          <w:rFonts w:ascii="David" w:hAnsi="David" w:cs="David"/>
          <w:i/>
          <w:iCs/>
          <w:rtl/>
        </w:rPr>
        <w:t>נ' אוטמזגין</w:t>
      </w:r>
      <w:r>
        <w:rPr>
          <w:rFonts w:ascii="David" w:hAnsi="David" w:cs="David"/>
          <w:rtl/>
        </w:rPr>
        <w:t>, פסקה 13 (26.3.2024)).</w:t>
      </w:r>
    </w:p>
    <w:p w:rsidR="0015599B" w:rsidP="0015599B" w:rsidRDefault="0015599B">
      <w:pPr>
        <w:pStyle w:val="ad"/>
        <w:spacing w:after="0" w:line="360" w:lineRule="auto"/>
        <w:ind w:left="368"/>
        <w:jc w:val="both"/>
        <w:rPr>
          <w:rFonts w:ascii="David" w:hAnsi="David" w:cs="David"/>
        </w:rPr>
      </w:pPr>
    </w:p>
    <w:p w:rsidR="0015599B" w:rsidP="0015599B" w:rsidRDefault="0015599B">
      <w:pPr>
        <w:pStyle w:val="ad"/>
        <w:spacing w:after="0" w:line="360" w:lineRule="auto"/>
        <w:ind w:left="368"/>
        <w:jc w:val="both"/>
        <w:rPr>
          <w:rFonts w:ascii="David" w:hAnsi="David" w:cs="David"/>
          <w:rtl/>
        </w:rPr>
      </w:pPr>
      <w:r>
        <w:rPr>
          <w:rFonts w:ascii="David" w:hAnsi="David" w:cs="David"/>
          <w:rtl/>
        </w:rPr>
        <w:t xml:space="preserve">מקרה זה נמנה על המקרים בהם אין תכלית בהמשך בירור מחלוקות הצדדים בדבר זכאות התובעים לקבל הפיצוי העונשי המעוגן בחוק לפיצוי קורבנות טרור, וניתן להכריע במחלוקות אלה כבר בשלב זה של ההליך  (ראו בפסק דינו של כב' סגן הנשיא א' דראל בת"א (מחוזי י-ם) 59138-06-23 </w:t>
      </w:r>
      <w:r>
        <w:rPr>
          <w:rFonts w:ascii="David" w:hAnsi="David" w:cs="David"/>
          <w:i/>
          <w:iCs/>
          <w:rtl/>
        </w:rPr>
        <w:t>פלונית נ' הרשות הפלסטינית</w:t>
      </w:r>
      <w:r>
        <w:rPr>
          <w:rFonts w:ascii="David" w:hAnsi="David" w:cs="David"/>
          <w:rtl/>
        </w:rPr>
        <w:t>, פסקה 13 (19.11.2024)).</w:t>
      </w:r>
    </w:p>
    <w:p w:rsidR="0015599B" w:rsidP="0015599B" w:rsidRDefault="0015599B">
      <w:pPr>
        <w:pStyle w:val="ad"/>
        <w:spacing w:after="0" w:line="360" w:lineRule="auto"/>
        <w:ind w:left="368"/>
        <w:jc w:val="both"/>
        <w:rPr>
          <w:rFonts w:ascii="David" w:hAnsi="David" w:cs="David"/>
          <w:rtl/>
        </w:rPr>
      </w:pPr>
    </w:p>
    <w:p w:rsidR="0015599B" w:rsidP="0015599B" w:rsidRDefault="0015599B">
      <w:pPr>
        <w:pStyle w:val="ad"/>
        <w:numPr>
          <w:ilvl w:val="0"/>
          <w:numId w:val="1"/>
        </w:numPr>
        <w:spacing w:after="0" w:line="360" w:lineRule="auto"/>
        <w:ind w:left="368"/>
        <w:jc w:val="both"/>
        <w:rPr>
          <w:rFonts w:ascii="David" w:hAnsi="David" w:cs="David"/>
          <w:rtl/>
        </w:rPr>
      </w:pPr>
      <w:r>
        <w:rPr>
          <w:rFonts w:ascii="David" w:hAnsi="David" w:cs="David"/>
          <w:rtl/>
        </w:rPr>
        <w:t xml:space="preserve">לפי הוראת סעיפים 2(א) – (ב) </w:t>
      </w:r>
      <w:r>
        <w:rPr>
          <w:rFonts w:ascii="David" w:hAnsi="David" w:cs="David"/>
        </w:rPr>
        <w:t xml:space="preserve"> </w:t>
      </w:r>
      <w:r>
        <w:rPr>
          <w:rFonts w:ascii="David" w:hAnsi="David" w:cs="David"/>
          <w:rtl/>
        </w:rPr>
        <w:t xml:space="preserve">לחוק לפיצוי קורבנות טרור יורשי אדם שמת בשל מעשה טרור וכן נפגעים ממעשה טרור זכאים לפיצויים לדוגמה ממבצע מעשה טרור, ממתגמל הטרור או ממי שחבותו נקבעה לפי סעיפים 12 עד 14 לפקודת הנזיקין, ובכלל זה ממי שמאשרר מעשה טרור. בגין מעשה טרור שגרם למותו של אדם יעמוד הפיצוי לדוגמה על סך עשרה מיליון ₪. בגין מעשה טרור שגרם לנכות צמיתה יעמוד הפיצוי לדוגמה על סך חמישה מיליון ₪. </w:t>
      </w:r>
    </w:p>
    <w:p w:rsidR="0015599B" w:rsidP="0015599B" w:rsidRDefault="0015599B">
      <w:pPr>
        <w:pStyle w:val="ad"/>
        <w:spacing w:after="0" w:line="360" w:lineRule="auto"/>
        <w:ind w:left="368"/>
        <w:jc w:val="both"/>
        <w:rPr>
          <w:rFonts w:ascii="David" w:hAnsi="David" w:cs="David"/>
          <w:rtl/>
        </w:rPr>
      </w:pPr>
    </w:p>
    <w:p w:rsidR="0015599B" w:rsidP="0015599B" w:rsidRDefault="0015599B">
      <w:pPr>
        <w:pStyle w:val="ad"/>
        <w:spacing w:after="0" w:line="360" w:lineRule="auto"/>
        <w:ind w:left="360"/>
        <w:jc w:val="both"/>
        <w:rPr>
          <w:rFonts w:ascii="David" w:hAnsi="David" w:cs="David"/>
        </w:rPr>
      </w:pPr>
      <w:r>
        <w:rPr>
          <w:rFonts w:ascii="David" w:hAnsi="David" w:cs="David"/>
          <w:rtl/>
        </w:rPr>
        <w:t xml:space="preserve">בפסיקת בית המשפט העליון, שקדמה לחקיקת חוק לפיצוי קורבנות טרור, נקבע כי העברת כספים למבצעי פעולות טרור ובני משפחותיהם נחשבת כפעולת "אשרור", ברם לא ניתן להשית פיצוי עונשי בנסיבות בהן האחריות הנזיקית מוטלת מכוח חלופת האשרור (דעת הרוב בע"א 2362/19 </w:t>
      </w:r>
      <w:r>
        <w:rPr>
          <w:rFonts w:ascii="David" w:hAnsi="David" w:cs="David"/>
          <w:i/>
          <w:iCs/>
          <w:rtl/>
        </w:rPr>
        <w:t>פלונים נ' הרשות הפלסטינית</w:t>
      </w:r>
      <w:r>
        <w:rPr>
          <w:rFonts w:ascii="David" w:hAnsi="David" w:cs="David"/>
          <w:rtl/>
        </w:rPr>
        <w:t xml:space="preserve"> (10.4.2022) (עניין פלונים); ע"א 1017/21 </w:t>
      </w:r>
      <w:r>
        <w:rPr>
          <w:rFonts w:ascii="David" w:hAnsi="David" w:cs="David"/>
          <w:i/>
          <w:iCs/>
          <w:rtl/>
        </w:rPr>
        <w:t>באנויאן נ' הרשות הפלסטינית</w:t>
      </w:r>
      <w:r>
        <w:rPr>
          <w:rFonts w:ascii="David" w:hAnsi="David" w:cs="David"/>
          <w:rtl/>
        </w:rPr>
        <w:t xml:space="preserve"> (10.5.2022); דנ"א 3522/22 </w:t>
      </w:r>
      <w:r>
        <w:rPr>
          <w:rFonts w:ascii="David" w:hAnsi="David" w:cs="David"/>
          <w:i/>
          <w:iCs/>
          <w:rtl/>
        </w:rPr>
        <w:t xml:space="preserve">באנויאן נ' הרשות הפלסטינית </w:t>
      </w:r>
      <w:r>
        <w:rPr>
          <w:rFonts w:ascii="David" w:hAnsi="David" w:cs="David"/>
          <w:rtl/>
        </w:rPr>
        <w:t xml:space="preserve">(30.8.2022) (עניין באנויאן)). </w:t>
      </w:r>
    </w:p>
    <w:p w:rsidR="0015599B" w:rsidP="0015599B" w:rsidRDefault="0015599B">
      <w:pPr>
        <w:pStyle w:val="ad"/>
        <w:spacing w:after="0" w:line="360" w:lineRule="auto"/>
        <w:ind w:left="360"/>
        <w:jc w:val="both"/>
        <w:rPr>
          <w:rFonts w:ascii="David" w:hAnsi="David" w:cs="David"/>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חוק לפיצוי קורבנות טרור שינה מצב דברים זה וקבע באופן מפורש כי גם מי שחבותו נקבעה לפי סעיפים 12 – 14 לפקודת הנזיקין, ובכלל זה המאשרר – יחוב בפיצוי עונשי (ראו בבג"ץ 4395/24 </w:t>
      </w:r>
      <w:r>
        <w:rPr>
          <w:rFonts w:ascii="David" w:hAnsi="David" w:cs="David"/>
          <w:i/>
          <w:iCs/>
          <w:rtl/>
        </w:rPr>
        <w:t>הרשות הפלסטינית נ' הכנסת,</w:t>
      </w:r>
      <w:r>
        <w:rPr>
          <w:rFonts w:ascii="David" w:hAnsi="David" w:cs="David"/>
          <w:rtl/>
        </w:rPr>
        <w:t xml:space="preserve"> פסקה 2 (13.1.2025) ("בג"ץ חוק הפיצויים"); דברי </w:t>
      </w:r>
      <w:r>
        <w:rPr>
          <w:rFonts w:ascii="David" w:hAnsi="David" w:cs="David"/>
          <w:rtl/>
        </w:rPr>
        <w:lastRenderedPageBreak/>
        <w:t>ההסבר להצעת חוק לפיצוי קורבנות טרור (פיצויים לדוגמה), התשפ"ג-2023, הצעות חוק הכנסת 975, בעמ' 142 (להלן: "דברי ההסבר להצעת חוק לפיצוי קורבנות טרור").</w:t>
      </w:r>
    </w:p>
    <w:p w:rsidR="0015599B" w:rsidP="0015599B" w:rsidRDefault="0015599B">
      <w:pPr>
        <w:pStyle w:val="ad"/>
        <w:spacing w:after="0" w:line="360" w:lineRule="auto"/>
        <w:ind w:left="360"/>
        <w:jc w:val="both"/>
        <w:rPr>
          <w:rFonts w:ascii="David" w:hAnsi="David" w:cs="David"/>
          <w:color w:val="FF0000"/>
          <w:rtl/>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במקרה דנן אין חולק כי הפיגוע מושא התביעה מהווה מעשה טרור. כמו כן אין חולק כי הרשות הפלסטינית שילמה כספים למשפחות המפגעים בשל מעורבותם בפיגוע. בהתאם לפסיקת בית המשפט העליון, תשלומים שהעבירה הרשות הפלסטינית למבצעי מעשי הטרור או לבני משפחותיהם מהווים פעולה המאשררת את המעשים האמורים מכוח סעיף 12 לפקודת הנזיקין. תשלומים אלה הוכרו כנטילת אחריות של הרשות הפלסטינית לביצועם של מעשי הטרור – לאחר ביצועם. זאת נוכח היות תשלומים אלה תגמול אסור למעשה טרור, המבטא הכרה, הוקרה ותרומה למעשה הטרור (עניין פלונים, פסקאות 49 ו- 54 לפסק דינו של כב' השופט (כתוארו אז) י' עמית; עניין באנויאן, פסקאות 12 ו- 14). גם מטעם זה יש לראות בנתבעים כחבים בפיצוי לדוגמה מכוח סעיף 2(ב) לחוק לפיצוי קורבנות טרור.</w:t>
      </w:r>
    </w:p>
    <w:p w:rsidR="0015599B" w:rsidP="0015599B" w:rsidRDefault="0015599B">
      <w:pPr>
        <w:pStyle w:val="ad"/>
        <w:spacing w:line="360" w:lineRule="auto"/>
        <w:ind w:left="360"/>
        <w:rPr>
          <w:rFonts w:ascii="David" w:hAnsi="David" w:cs="David"/>
          <w:color w:val="FF0000"/>
        </w:rPr>
      </w:pPr>
    </w:p>
    <w:p w:rsidR="0015599B" w:rsidP="0015599B" w:rsidRDefault="0015599B">
      <w:pPr>
        <w:pStyle w:val="ad"/>
        <w:spacing w:line="360" w:lineRule="auto"/>
        <w:ind w:left="360"/>
        <w:jc w:val="both"/>
        <w:rPr>
          <w:rFonts w:ascii="David" w:hAnsi="David" w:cs="David"/>
          <w:color w:val="FF0000"/>
          <w:rtl/>
        </w:rPr>
      </w:pPr>
      <w:r>
        <w:rPr>
          <w:rFonts w:ascii="David" w:hAnsi="David" w:cs="David"/>
          <w:rtl/>
        </w:rPr>
        <w:t>בנוסף, ולנוכח התשלומים למשפחות המפגעים כאמור, הרי שיש לראות את הרשות הפלסטינית משום "מתגמל טרור" כהגדרת מונח זה בסעיף 1 לחוק לפיצוי קורבנות טרור – "מי שמעביר כספים בשל מעשה טרור לטובת מבצע מעשה הטרור או למי מטעמו, ובכלל זה ... הרשות הפלסטינית".</w:t>
      </w:r>
    </w:p>
    <w:p w:rsidR="0015599B" w:rsidP="0015599B" w:rsidRDefault="0015599B">
      <w:pPr>
        <w:pStyle w:val="ad"/>
        <w:spacing w:line="360" w:lineRule="auto"/>
        <w:ind w:left="360"/>
        <w:rPr>
          <w:rFonts w:ascii="David" w:hAnsi="David" w:cs="David"/>
          <w:color w:val="FF0000"/>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אפנה גם לקביעות שבפסק הדין שניתן ביום 2.3.26 בת"א 22169-05-25, בדבר אחריות הרשות הפלסטינית לנזקים שנגרמו לקרבן הנוסף בפיגוע מושא תביעה זו, היפות גם לענייננו. </w:t>
      </w:r>
    </w:p>
    <w:p w:rsidR="0015599B" w:rsidP="0015599B" w:rsidRDefault="0015599B">
      <w:pPr>
        <w:pStyle w:val="ad"/>
        <w:spacing w:after="0" w:line="360" w:lineRule="auto"/>
        <w:ind w:left="360"/>
        <w:jc w:val="both"/>
        <w:rPr>
          <w:rFonts w:ascii="David" w:hAnsi="David" w:cs="David"/>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לפי הוראת סעיף 2(ה)</w:t>
      </w:r>
      <w:r>
        <w:rPr>
          <w:rFonts w:ascii="David" w:hAnsi="David" w:cs="David"/>
        </w:rPr>
        <w:t xml:space="preserve"> </w:t>
      </w:r>
      <w:r>
        <w:rPr>
          <w:rFonts w:ascii="David" w:hAnsi="David" w:cs="David"/>
          <w:rtl/>
        </w:rPr>
        <w:t>לחוק לפיצוי קורבנות טרור</w:t>
      </w:r>
      <w:r>
        <w:rPr>
          <w:rtl/>
        </w:rPr>
        <w:t xml:space="preserve"> </w:t>
      </w:r>
      <w:r>
        <w:rPr>
          <w:rFonts w:ascii="David" w:hAnsi="David" w:cs="David"/>
          <w:rtl/>
        </w:rPr>
        <w:t xml:space="preserve">חזקה שנתבע הוא מתגמל טרור בשל מעשה טרור שגרם למוות או לנכות, אם מדיניותו בדבר מתן תמורה בקשר למעשי טרור מיושמת בדרך של חקיקה ראשית, חקיקת משנה או מתן הנחיות לתשלום כספים לצורך זה, כל עוד מתגמל הטרור לא הוכיח אחרת. </w:t>
      </w:r>
    </w:p>
    <w:p w:rsidR="0015599B" w:rsidP="0015599B" w:rsidRDefault="0015599B">
      <w:pPr>
        <w:pStyle w:val="ad"/>
        <w:spacing w:after="0" w:line="360" w:lineRule="auto"/>
        <w:ind w:left="360"/>
        <w:jc w:val="both"/>
        <w:rPr>
          <w:rFonts w:ascii="David" w:hAnsi="David" w:cs="David"/>
          <w:color w:val="FF0000"/>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לטענת הנתבעים יש לאפשר להם להגיש ראיות לשם סתירת החזקה המעוגנת בהוראת סעיף 2(ה) לחוק לפיצוי קורבנות טרור בדבר היותם מתגמלי טרור, וכן ליתן להם אפשרות לשטוח טענות נוספות שיש להם כנגד תוקף חוק לפיצוי קורבנות טרור ותחולתו. אין בידי לקבל טענות אלה.</w:t>
      </w:r>
    </w:p>
    <w:p w:rsidR="0015599B" w:rsidP="0015599B" w:rsidRDefault="0015599B">
      <w:pPr>
        <w:pStyle w:val="ad"/>
        <w:spacing w:after="0" w:line="360" w:lineRule="auto"/>
        <w:ind w:left="360"/>
        <w:jc w:val="both"/>
        <w:rPr>
          <w:rFonts w:ascii="David" w:hAnsi="David" w:cs="David"/>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בסעיפים 2(א) ו- 2(ב) לחוק לפיצוי קורבנות טרור מעוגנות שלוש חלופות לגורם אותו ניתן לחייבו בתשלום פיצויים עונשיים – "מבצע מעשה הטרור", "מתגמל הטרור", וכן – "מי שחבותו נקבעה לפי סעיפים 12 עד 14 לפקודת הנזיקין". החזקה המעוגנת בהוראת סעיף 2(ה)</w:t>
      </w:r>
      <w:r>
        <w:rPr>
          <w:rFonts w:ascii="David" w:hAnsi="David" w:cs="David"/>
        </w:rPr>
        <w:t xml:space="preserve"> </w:t>
      </w:r>
      <w:r>
        <w:rPr>
          <w:rFonts w:ascii="David" w:hAnsi="David" w:cs="David"/>
          <w:rtl/>
        </w:rPr>
        <w:lastRenderedPageBreak/>
        <w:t xml:space="preserve">לחוק לפיצוי קורבנות טרור מתייחסת ל"מתגמל טרור", קרי לחלופה השניה מבין שלוש החלופות שנמנו לעיל. ברם חבותם של הנתבעים נקבעה לפי סעיף 12 לפקודת הנזיקין – היינו לפי החלופה השלישית מבין שלוש החלופות, כך שממילא אין תחולה לחזקה זו במקרה זה (ע"א 15278-04-25 </w:t>
      </w:r>
      <w:r>
        <w:rPr>
          <w:rFonts w:ascii="David" w:hAnsi="David" w:cs="David"/>
          <w:i/>
          <w:iCs/>
          <w:rtl/>
        </w:rPr>
        <w:t>הרשות הפלסטינית נ' עיזבון פלוני ז"ל</w:t>
      </w:r>
      <w:r>
        <w:rPr>
          <w:rFonts w:ascii="David" w:hAnsi="David" w:cs="David"/>
          <w:rtl/>
        </w:rPr>
        <w:t>, פסקה 19 ‏(‏8.3.2026‏)‏‏ (עניין עיזבון פלוני)).</w:t>
      </w:r>
    </w:p>
    <w:p w:rsidR="0015599B" w:rsidP="0015599B" w:rsidRDefault="0015599B">
      <w:pPr>
        <w:pStyle w:val="ad"/>
        <w:spacing w:after="0" w:line="360" w:lineRule="auto"/>
        <w:ind w:left="360"/>
        <w:jc w:val="both"/>
        <w:rPr>
          <w:rFonts w:ascii="David" w:hAnsi="David" w:cs="David"/>
        </w:rPr>
      </w:pPr>
    </w:p>
    <w:p w:rsidR="0015599B" w:rsidP="0015599B" w:rsidRDefault="0015599B">
      <w:pPr>
        <w:pStyle w:val="ad"/>
        <w:spacing w:line="360" w:lineRule="auto"/>
        <w:ind w:left="360"/>
        <w:jc w:val="both"/>
        <w:rPr>
          <w:rFonts w:ascii="David" w:hAnsi="David" w:cs="David"/>
          <w:rtl/>
        </w:rPr>
      </w:pPr>
      <w:r>
        <w:rPr>
          <w:rFonts w:ascii="David" w:hAnsi="David" w:cs="David"/>
          <w:rtl/>
        </w:rPr>
        <w:t>מעבר לכך, החזקה המעוגנת בהוראת סעיף 2(ה)</w:t>
      </w:r>
      <w:r>
        <w:rPr>
          <w:rFonts w:ascii="David" w:hAnsi="David" w:cs="David"/>
        </w:rPr>
        <w:t xml:space="preserve"> </w:t>
      </w:r>
      <w:r>
        <w:rPr>
          <w:rFonts w:ascii="David" w:hAnsi="David" w:cs="David"/>
          <w:rtl/>
        </w:rPr>
        <w:t>לחוק לפיצוי קורבנות טרור נוגעת רק למצבים בהם אין הוכחה קונקרטית להעברת כספים בשל מעשה טרור ספציפי (עניין עיזבון פלוני, פסקה 20). במקרה דנן אין מחלוקת כי הרשות הפלסטינית שילמה כספים למשפחות המפגעים, כך שהוכחה העברת כספים בשל מעשה הטרור הספציפי לטובת מבצעיהם. על כן יש לראות בנתבעים משום "מתגמל טרור" כהגדרת מונח זה בסעיף 1 לחוק לפיצוי קורבנות טרור, ואין צורך להידרש לתחולתה של החזקה המעוגנת בסעיף 2(ה) לחוק לפיצוי קורבנות טרור.</w:t>
      </w:r>
    </w:p>
    <w:p w:rsidR="0015599B" w:rsidP="0015599B" w:rsidRDefault="0015599B">
      <w:pPr>
        <w:pStyle w:val="ad"/>
        <w:spacing w:after="0" w:line="360" w:lineRule="auto"/>
        <w:ind w:left="360"/>
        <w:jc w:val="both"/>
        <w:rPr>
          <w:rFonts w:ascii="David" w:hAnsi="David" w:cs="David"/>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ומכל מקום, וכאמור, אחריותם של הנתבעים נובעת גם מהיותם מאשררי מעשה הטרור, כך שבכל מקרה תיוחס להם אחריות מכוח חלופת האשרור (עניין עיזבון פלוני, פסקה 21).</w:t>
      </w:r>
    </w:p>
    <w:p w:rsidR="0015599B" w:rsidP="0015599B" w:rsidRDefault="0015599B">
      <w:pPr>
        <w:pStyle w:val="ad"/>
        <w:spacing w:line="360" w:lineRule="auto"/>
        <w:ind w:left="360"/>
        <w:jc w:val="both"/>
        <w:rPr>
          <w:rFonts w:ascii="David" w:hAnsi="David" w:cs="David"/>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 xml:space="preserve">הנתבעים הפנו לדברי בית המשפט העליון בבג"ץ חוק הפיצויים בדבר אופיו החריג של חוק לפיצוי קורבנות טרור. הם טענו כי משתמע מפסק הדין בבג"ץ חוק הפיצויים כי הפסקת מדיניות התשלומים תביא לכך שהחוק לא יחול על הנתבעים. הם טענו עוד כי משהפסיקו לשאת בתשלום למבצעי מעשה הטרור או לבני משפחותיהם, אין הם נושאים באחריות כמאשררים, ואין תחולה אוטומטית לחוק לפיצוי קורבנות טרור בנסיבות אלה. הנתבעים עתרו כי יתאפשר להם להגיש ראיות בעניין. </w:t>
      </w:r>
    </w:p>
    <w:p w:rsidR="0015599B" w:rsidP="0015599B" w:rsidRDefault="0015599B">
      <w:pPr>
        <w:pStyle w:val="ad"/>
        <w:spacing w:after="0" w:line="360" w:lineRule="auto"/>
        <w:ind w:left="360"/>
        <w:jc w:val="both"/>
        <w:rPr>
          <w:rFonts w:ascii="David" w:hAnsi="David" w:cs="David"/>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אין בידי לקבל טענות אלה. </w:t>
      </w:r>
    </w:p>
    <w:p w:rsidR="0015599B" w:rsidP="0015599B" w:rsidRDefault="0015599B">
      <w:pPr>
        <w:pStyle w:val="ad"/>
        <w:spacing w:after="0" w:line="360" w:lineRule="auto"/>
        <w:ind w:left="360"/>
        <w:jc w:val="both"/>
        <w:rPr>
          <w:rFonts w:ascii="David" w:hAnsi="David" w:cs="David"/>
          <w:rtl/>
        </w:rPr>
      </w:pPr>
    </w:p>
    <w:p w:rsidR="0015599B" w:rsidP="0015599B" w:rsidRDefault="0015599B">
      <w:pPr>
        <w:pStyle w:val="ad"/>
        <w:spacing w:line="360" w:lineRule="auto"/>
        <w:ind w:left="360"/>
        <w:jc w:val="both"/>
        <w:rPr>
          <w:rFonts w:ascii="David" w:hAnsi="David" w:cs="David"/>
          <w:rtl/>
        </w:rPr>
      </w:pPr>
      <w:r>
        <w:rPr>
          <w:rFonts w:ascii="David" w:hAnsi="David" w:cs="David"/>
          <w:rtl/>
        </w:rPr>
        <w:t>משנדחתה העתירה נגד חוק לפיצוי קורבנות טרור אין מקום לקבל את טענות הנתבעים המבקשות לערער את יסודותיו של חוק זה (עניין עיזבון פלוני, פסקה 9).</w:t>
      </w:r>
    </w:p>
    <w:p w:rsidR="0015599B" w:rsidP="0015599B" w:rsidRDefault="0015599B">
      <w:pPr>
        <w:pStyle w:val="ad"/>
        <w:spacing w:line="360" w:lineRule="auto"/>
        <w:ind w:left="360"/>
        <w:jc w:val="both"/>
        <w:rPr>
          <w:rFonts w:ascii="David" w:hAnsi="David" w:cs="David"/>
          <w:rtl/>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 xml:space="preserve">לגוף הדברים, במקרה דנן בוצע מעשה הטרור במועד בו מדיניות התגמולים של הרשות הפלסטינית עבור מפגעים ובני משפחותיהם היתה בתוקף. הרשות הפלסטינית נשאה בתשלומים לבני משפחות המפגעים לאורך תקופה, מאז ביצוע פיגוע הטרור. בהעברת התשלומים למשפחות המפגעים ביטאה הרשות הפלסטינית נכונות ליטול על עצמה אחריות כספית למעשה הטרור, הכרה במעשי המפגעים והוקרה של מעשים אלה (ראו בפסקי דינה של כב' השופטת מ' אילני בת"א (מחוזי י-ם) 54389-07-24 </w:t>
      </w:r>
      <w:r>
        <w:rPr>
          <w:rFonts w:ascii="David" w:hAnsi="David" w:cs="David"/>
          <w:i/>
          <w:iCs/>
          <w:rtl/>
        </w:rPr>
        <w:t>פלוני נ' הרשות הפלסטינית</w:t>
      </w:r>
      <w:r>
        <w:rPr>
          <w:rFonts w:ascii="David" w:hAnsi="David" w:cs="David"/>
          <w:rtl/>
        </w:rPr>
        <w:t xml:space="preserve">, פסקה 32 </w:t>
      </w:r>
      <w:r>
        <w:rPr>
          <w:rFonts w:ascii="David" w:hAnsi="David" w:cs="David"/>
          <w:rtl/>
        </w:rPr>
        <w:lastRenderedPageBreak/>
        <w:t xml:space="preserve">(4.7.2025), וכן בת"א (מחוזי ירושלים) 56301-10-21 </w:t>
      </w:r>
      <w:r>
        <w:rPr>
          <w:rFonts w:ascii="David" w:hAnsi="David" w:cs="David"/>
          <w:i/>
          <w:iCs/>
          <w:rtl/>
        </w:rPr>
        <w:t>יורשי עזבון המנוח פלוני נ' הרשות הפלסטינית</w:t>
      </w:r>
      <w:r>
        <w:rPr>
          <w:rFonts w:ascii="David" w:hAnsi="David" w:cs="David"/>
          <w:rtl/>
        </w:rPr>
        <w:t>, פסקאות 11 – 12 (11.8.2025) (להלן: "עניין יורשי עזבון המנוח").</w:t>
      </w:r>
    </w:p>
    <w:p w:rsidR="0015599B" w:rsidP="0015599B" w:rsidRDefault="0015599B">
      <w:pPr>
        <w:pStyle w:val="ad"/>
        <w:spacing w:after="0" w:line="360" w:lineRule="auto"/>
        <w:ind w:left="360"/>
        <w:jc w:val="both"/>
        <w:rPr>
          <w:rFonts w:ascii="David" w:hAnsi="David" w:cs="David"/>
          <w:color w:val="FF0000"/>
        </w:rPr>
      </w:pPr>
    </w:p>
    <w:p w:rsidR="0015599B" w:rsidP="0015599B" w:rsidRDefault="0015599B">
      <w:pPr>
        <w:pStyle w:val="ad"/>
        <w:spacing w:after="0" w:line="360" w:lineRule="auto"/>
        <w:ind w:left="360"/>
        <w:jc w:val="both"/>
        <w:rPr>
          <w:rFonts w:ascii="David" w:hAnsi="David" w:cs="David"/>
          <w:rtl/>
        </w:rPr>
      </w:pPr>
      <w:r>
        <w:rPr>
          <w:rFonts w:ascii="David" w:hAnsi="David" w:cs="David"/>
          <w:rtl/>
        </w:rPr>
        <w:t>הגם שלשם הכרה בחלופת "מאשרר"</w:t>
      </w:r>
      <w:r>
        <w:rPr>
          <w:rFonts w:ascii="David" w:hAnsi="David" w:cs="David"/>
        </w:rPr>
        <w:t xml:space="preserve"> </w:t>
      </w:r>
      <w:r>
        <w:rPr>
          <w:rFonts w:ascii="David" w:hAnsi="David" w:cs="David"/>
          <w:rtl/>
        </w:rPr>
        <w:t xml:space="preserve">בהתאם להוראת סעיף 12 לפקודת הנזיקין לא נדרשת הוכחת קשר סיבתי בין פעולת האשרור לבין ביצוע העוולה, הרי שהתמריץ הגלום בתגמול הכספי למעשי טרור להמשיך בביצוע מעשים נפשעים אלה מלמד על אחריות הנתבעים כמאשררים (עניין פלונים, פסקאות 47 ו- 49 לפסק דינו של כב' השופט י' עמית). </w:t>
      </w:r>
    </w:p>
    <w:p w:rsidR="0015599B" w:rsidP="0015599B" w:rsidRDefault="0015599B">
      <w:pPr>
        <w:pStyle w:val="ad"/>
        <w:spacing w:after="0" w:line="360" w:lineRule="auto"/>
        <w:ind w:left="360"/>
        <w:jc w:val="both"/>
        <w:rPr>
          <w:rFonts w:ascii="David" w:hAnsi="David" w:cs="David"/>
          <w:color w:val="FF0000"/>
        </w:rPr>
      </w:pPr>
    </w:p>
    <w:p w:rsidR="0015599B" w:rsidP="0015599B" w:rsidRDefault="0015599B">
      <w:pPr>
        <w:pStyle w:val="ad"/>
        <w:spacing w:line="360" w:lineRule="auto"/>
        <w:ind w:left="360"/>
        <w:jc w:val="both"/>
        <w:rPr>
          <w:rFonts w:ascii="David" w:hAnsi="David" w:cs="David"/>
          <w:color w:val="FF0000"/>
          <w:rtl/>
        </w:rPr>
      </w:pPr>
      <w:r>
        <w:rPr>
          <w:rFonts w:ascii="David" w:hAnsi="David" w:cs="David"/>
          <w:rtl/>
        </w:rPr>
        <w:t xml:space="preserve">מדיניות התגמולים של הרשות הפלסטינית, מכוחה תגמלה הרשות הפלסטינית מבצעי טרור ובני משפחותיהם, הונהגה לאורך שנים, עד לאחר כניסת חוק לפיצוי קורבנות טרור לתוקף. שינוי החקיקה הנטען ברשות הפלסטינית בוצע רק חודשים לאחר חקיקת חוק לפיצוי קורבנות טרור, בתגובה לחקיקת חוק זה ולפסיקה שניתנה בעקבותיו. מדיניות זו יושמה עוד קודם לביצוע הפיגוע מושא התביעה, ויש לראותה כמדיניות שהשפיעה על מבצעי הפיגוע דנן ושדרבנה את ביצוע המעשים. גם מטעם זה מהווים הנתבעים מאשררים, על אף הפסקת התשלומים כנטען (לעניין הכרה ברשות כמאשררת גם לאחר הפסקת התשלומים הנטענת מטעם התמריץ לביצוע מעשי טרור שבמדיניות הרשות הפלסטינית לתגמול מעשי טרור ראו גם בפסקי דינה של כב' השופטת ח' מ' לומפ, בהם ת"א 60931-09-24 </w:t>
      </w:r>
      <w:r>
        <w:rPr>
          <w:rFonts w:ascii="David" w:hAnsi="David" w:cs="David"/>
          <w:i/>
          <w:iCs/>
          <w:rtl/>
        </w:rPr>
        <w:t>פלונית נ' הרשות הפלסטינית</w:t>
      </w:r>
      <w:r>
        <w:rPr>
          <w:rFonts w:ascii="David" w:hAnsi="David" w:cs="David"/>
          <w:rtl/>
        </w:rPr>
        <w:t xml:space="preserve">, פסקה 24 (29.7.25) ות"א 57423-09-24 </w:t>
      </w:r>
      <w:r>
        <w:rPr>
          <w:rFonts w:ascii="David" w:hAnsi="David" w:cs="David"/>
          <w:i/>
          <w:iCs/>
          <w:rtl/>
        </w:rPr>
        <w:t>פלונית נ' הרשות הפלסטינית</w:t>
      </w:r>
      <w:r>
        <w:rPr>
          <w:rFonts w:ascii="David" w:hAnsi="David" w:cs="David"/>
          <w:rtl/>
        </w:rPr>
        <w:t xml:space="preserve">, פסקה 25 (25.7.2025)). </w:t>
      </w:r>
    </w:p>
    <w:p w:rsidR="0015599B" w:rsidP="0015599B" w:rsidRDefault="0015599B">
      <w:pPr>
        <w:pStyle w:val="ad"/>
        <w:spacing w:line="360" w:lineRule="auto"/>
        <w:ind w:left="360"/>
        <w:jc w:val="both"/>
        <w:rPr>
          <w:rFonts w:ascii="David" w:hAnsi="David" w:cs="David"/>
        </w:rPr>
      </w:pPr>
    </w:p>
    <w:p w:rsidR="0015599B" w:rsidP="0015599B" w:rsidRDefault="0015599B">
      <w:pPr>
        <w:pStyle w:val="ad"/>
        <w:numPr>
          <w:ilvl w:val="0"/>
          <w:numId w:val="1"/>
        </w:numPr>
        <w:spacing w:line="360" w:lineRule="auto"/>
        <w:jc w:val="both"/>
        <w:rPr>
          <w:rFonts w:ascii="David" w:hAnsi="David" w:cs="David"/>
          <w:rtl/>
        </w:rPr>
      </w:pPr>
      <w:r>
        <w:rPr>
          <w:rFonts w:ascii="David" w:hAnsi="David" w:cs="David"/>
          <w:rtl/>
        </w:rPr>
        <w:t xml:space="preserve">לטענת הנתבעים אין תחולה רטרואקטיבית לחוק לפיצוי קורבנות טרור על אירועים שבוצעו קודם לכניסתו לתוקף. לדבריהם, בנסיבות בהן הופסקו התשלומים מכוח שינוי חקיקה ברשות, ומשלא מתקיים תגמול בפועל, העת אינה בשלה למתן פסק דין חלקי. דין טענה זו להידחות. </w:t>
      </w:r>
    </w:p>
    <w:p w:rsidR="0015599B" w:rsidP="0015599B" w:rsidRDefault="0015599B">
      <w:pPr>
        <w:pStyle w:val="ad"/>
        <w:spacing w:line="360" w:lineRule="auto"/>
        <w:ind w:left="360"/>
        <w:jc w:val="both"/>
        <w:rPr>
          <w:rFonts w:ascii="David" w:hAnsi="David" w:cs="David"/>
        </w:rPr>
      </w:pPr>
    </w:p>
    <w:p w:rsidR="0015599B" w:rsidP="0015599B" w:rsidRDefault="0015599B">
      <w:pPr>
        <w:pStyle w:val="ad"/>
        <w:spacing w:line="360" w:lineRule="auto"/>
        <w:ind w:left="360"/>
        <w:jc w:val="both"/>
        <w:rPr>
          <w:rFonts w:ascii="David" w:hAnsi="David" w:cs="David"/>
          <w:rtl/>
        </w:rPr>
      </w:pPr>
      <w:r>
        <w:rPr>
          <w:rFonts w:ascii="David" w:hAnsi="David" w:cs="David"/>
          <w:rtl/>
        </w:rPr>
        <w:t xml:space="preserve">בהתאם לסעיף 4 לחוק לפיצוי קורבנות טרור יוחל חוק זה אף ביחס לתביעות "בקשר למעשה טרור שטרם התיישנה או שהייתה תלויה ועומדת ערב תחילתו של חוק זה" (סעיף 4 לחוק לפיצוי קורבנות טרור). </w:t>
      </w:r>
    </w:p>
    <w:p w:rsidR="0015599B" w:rsidP="0015599B" w:rsidRDefault="0015599B">
      <w:pPr>
        <w:pStyle w:val="ad"/>
        <w:spacing w:line="360" w:lineRule="auto"/>
        <w:ind w:left="360"/>
        <w:jc w:val="both"/>
        <w:rPr>
          <w:rFonts w:ascii="David" w:hAnsi="David" w:cs="David"/>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הוראה זו ברורה ואינה נתונה לפרשנות. המחוקק גילה את דעתו באופן מפורש, כי אין מקום להגנה על אינטרס ההסתמכות של מי שפעל כמאשרר של מעשה טרור נפשע, גם אם האשרור נעשה קודם כניסת החוק לתוקף. </w:t>
      </w:r>
    </w:p>
    <w:p w:rsidR="0015599B" w:rsidP="0015599B" w:rsidRDefault="0015599B">
      <w:pPr>
        <w:pStyle w:val="ad"/>
        <w:spacing w:after="0" w:line="360" w:lineRule="auto"/>
        <w:ind w:left="360"/>
        <w:jc w:val="both"/>
        <w:rPr>
          <w:rFonts w:ascii="David" w:hAnsi="David" w:cs="David"/>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לפיכך, ואחר שנקבע כי יש לראות את הרשות הפלסטינית משום מאשרר בגין תשלומים שהעבירה למפגעים עוד קודם לכניסת חוק לפיצוי קורבנות טרור לתוקף, אף אם בשלב מסוים הופסקו התשלומים כנטען, הרי שיש תחולה להוראות חוק לפיצוי קורבנות טרור במקרה זה. </w:t>
      </w:r>
    </w:p>
    <w:p w:rsidR="0015599B" w:rsidP="0015599B" w:rsidRDefault="0015599B">
      <w:pPr>
        <w:pStyle w:val="ad"/>
        <w:spacing w:after="0" w:line="360" w:lineRule="auto"/>
        <w:ind w:left="368"/>
        <w:jc w:val="both"/>
        <w:rPr>
          <w:rFonts w:ascii="David" w:hAnsi="David" w:cs="David"/>
          <w:color w:val="FF0000"/>
          <w:rtl/>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 xml:space="preserve">יודגש, כי אשרור מעשה טרור הוכר כעוולה בנזיקין עוד קודם לכניסת חוק לפיצוי קורבנות טרור לתוקף (עניין פלונים, פסקה 49 לפסק דינו של כב' השופט י' עמית). חוק לפיצוי קורבנות טרור רק שינה באופן רטרוספקטיבי את השלכות מעשה האשרור בקבעו כי הוא יזכה את הנפגע ממעשה הטרור בפיצוי כמעוגן בחוק (עניין עיזבון פלוני, פסקאות 14, 19). </w:t>
      </w:r>
    </w:p>
    <w:p w:rsidR="0015599B" w:rsidP="0015599B" w:rsidRDefault="0015599B">
      <w:pPr>
        <w:pStyle w:val="ad"/>
        <w:spacing w:after="0" w:line="360" w:lineRule="auto"/>
        <w:ind w:left="368"/>
        <w:jc w:val="both"/>
        <w:rPr>
          <w:rFonts w:ascii="David" w:hAnsi="David" w:cs="David"/>
          <w:rtl/>
        </w:rPr>
      </w:pPr>
    </w:p>
    <w:p w:rsidR="0015599B" w:rsidP="0015599B" w:rsidRDefault="0015599B">
      <w:pPr>
        <w:pStyle w:val="ad"/>
        <w:spacing w:after="0" w:line="360" w:lineRule="auto"/>
        <w:ind w:left="368"/>
        <w:jc w:val="both"/>
        <w:rPr>
          <w:rFonts w:ascii="David" w:hAnsi="David" w:cs="David"/>
          <w:rtl/>
        </w:rPr>
      </w:pPr>
      <w:r>
        <w:rPr>
          <w:rFonts w:ascii="David" w:hAnsi="David" w:cs="David"/>
          <w:rtl/>
        </w:rPr>
        <w:t>בנסיבות אלה, הפגיעה באינטרס ההסתמכות של הרשות הפלסטינית מידתית ומוצדקת, ומן הראוי להשית על מתגמל הטרור את הפיצוי העונשי המעוגן בחוק.</w:t>
      </w:r>
    </w:p>
    <w:p w:rsidR="0015599B" w:rsidP="0015599B" w:rsidRDefault="0015599B">
      <w:pPr>
        <w:pStyle w:val="ad"/>
        <w:spacing w:after="0" w:line="360" w:lineRule="auto"/>
        <w:ind w:left="360"/>
        <w:jc w:val="both"/>
        <w:rPr>
          <w:rFonts w:ascii="David" w:hAnsi="David" w:cs="David"/>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 xml:space="preserve">אין בידי לקבל את טענת הנתבעים כי הפסקת התשלומים הנטענת אמורה לפעול אף היא למפרע. על פי אופן הצגת הדברים בידי הנתבעים, התשלומים שהעבירה הרשות הפלסטינית למפגעים ולבני משפחותיהם הופסקו מכאן ואילך. לא הוצגו ראיות לכך שתשלומים שהועברו לבני משפחות המפגעים הושבו לרשות הפלסטינית עם שינוי מדיניות התשלומים. מעבר לכך, לא היה בהפסקת התשלומים כדי להשפיע על השלכות תגמול הטרור על ביצוע פיגועים קודם להפסקת התשלומים כאמור. במילים אחרות, פעולת האשרור המדוברת בגינה מוטלת על הנתבעים אחריות היא עוולה שבוצעה בעבר – קודם לשינוי המדיניות הנטען (עניין פלונים, פסקה 17 לפסק דינו של כב' השופט י' עמית). שינוי המדיניות שנחקק לאחר מעשה הטרור ולאחר שנים שבהן שולמו התגמולים, אינו שולל, אם כן, את תחולתה של חלופת ה"אשרור" מכוח סעיף 12 לפקודת הנזיקין. אין בכוחו של שינוי המדיניות לשנות מעשים שכבר נעשו, ולכל היותר יכול הוא להשליך על תחולת חוק לפיצוי קורבנות טרור ממועד שינוי המדיניות ואילך (עניין עיזבון פלוני, פסקה 21). </w:t>
      </w:r>
    </w:p>
    <w:p w:rsidR="0015599B" w:rsidP="0015599B" w:rsidRDefault="0015599B">
      <w:pPr>
        <w:pStyle w:val="ad"/>
        <w:spacing w:line="360" w:lineRule="auto"/>
        <w:ind w:left="360"/>
        <w:jc w:val="both"/>
        <w:rPr>
          <w:rFonts w:ascii="David" w:hAnsi="David" w:cs="David"/>
          <w:rtl/>
        </w:rPr>
      </w:pPr>
    </w:p>
    <w:p w:rsidR="0015599B" w:rsidP="0015599B" w:rsidRDefault="0015599B">
      <w:pPr>
        <w:pStyle w:val="ad"/>
        <w:spacing w:line="360" w:lineRule="auto"/>
        <w:ind w:left="360"/>
        <w:jc w:val="both"/>
        <w:rPr>
          <w:rFonts w:ascii="David" w:hAnsi="David" w:cs="David"/>
          <w:rtl/>
        </w:rPr>
      </w:pPr>
      <w:r>
        <w:rPr>
          <w:rFonts w:ascii="David" w:hAnsi="David" w:cs="David"/>
          <w:rtl/>
        </w:rPr>
        <w:t>די באמור כדי לבסס את המסקנה בדבר היות הנתבעים מאשררים, ואין בטענה כי התשלומים הופסקו כדי לשנות מסקנה זו. על כן אין מקום להמשך בירור ראייתי בסוגיית הפסקת התשלומים בידי הרשות הפלסטינית.</w:t>
      </w:r>
    </w:p>
    <w:p w:rsidR="0015599B" w:rsidP="0015599B" w:rsidRDefault="0015599B">
      <w:pPr>
        <w:pStyle w:val="ad"/>
        <w:spacing w:after="0" w:line="360" w:lineRule="auto"/>
        <w:ind w:left="368"/>
        <w:jc w:val="both"/>
        <w:rPr>
          <w:rFonts w:ascii="David" w:hAnsi="David" w:cs="David"/>
          <w:color w:val="FF0000"/>
          <w:rtl/>
        </w:rPr>
      </w:pPr>
    </w:p>
    <w:p w:rsidR="0015599B" w:rsidP="0015599B" w:rsidRDefault="0015599B">
      <w:pPr>
        <w:pStyle w:val="ad"/>
        <w:numPr>
          <w:ilvl w:val="0"/>
          <w:numId w:val="1"/>
        </w:numPr>
        <w:spacing w:after="0" w:line="360" w:lineRule="auto"/>
        <w:ind w:left="368"/>
        <w:jc w:val="both"/>
        <w:rPr>
          <w:rFonts w:ascii="David" w:hAnsi="David" w:cs="David"/>
        </w:rPr>
      </w:pPr>
      <w:r>
        <w:rPr>
          <w:rFonts w:ascii="David" w:hAnsi="David" w:cs="David"/>
          <w:rtl/>
        </w:rPr>
        <w:t xml:space="preserve">טענה נוספת אותה העלו הנתבעים היא כי משהופסקו התשלומים, הגשים חוק לפיצוי קורבנות טרור את תכליתו, ועל כן אין להחילו על תשלומים שקדמו לו. גם דין טענה זו להידחות. </w:t>
      </w:r>
    </w:p>
    <w:p w:rsidR="0015599B" w:rsidP="0015599B" w:rsidRDefault="0015599B">
      <w:pPr>
        <w:pStyle w:val="ad"/>
        <w:spacing w:after="0" w:line="360" w:lineRule="auto"/>
        <w:ind w:left="368"/>
        <w:jc w:val="both"/>
        <w:rPr>
          <w:rFonts w:ascii="David" w:hAnsi="David" w:cs="David"/>
          <w:rtl/>
        </w:rPr>
      </w:pPr>
    </w:p>
    <w:p w:rsidR="0015599B" w:rsidP="0015599B" w:rsidRDefault="0015599B">
      <w:pPr>
        <w:pStyle w:val="ad"/>
        <w:spacing w:after="0" w:line="360" w:lineRule="auto"/>
        <w:ind w:left="368"/>
        <w:jc w:val="both"/>
        <w:rPr>
          <w:rFonts w:ascii="David" w:hAnsi="David" w:cs="David"/>
          <w:rtl/>
        </w:rPr>
      </w:pPr>
      <w:r>
        <w:rPr>
          <w:rFonts w:ascii="David" w:hAnsi="David" w:cs="David"/>
          <w:rtl/>
        </w:rPr>
        <w:t>חוק לפיצוי קורבנות טרור אכן נועד להפסיק את הנוהג של הרשות הפלסטינית לתגמל מבצעי פעולת טרור, אך גם לסייע לנפגעי טרור ולמשפחותיהם בקבלת פיצוי (ראו בדברי ההסבר להצעת חוק לפיצוי קורבנות טרור, בעמ' 142, וכן בדיוני הבאת החוק לקריאה שניה ושלישית בדברי הכנסת, כ"ב, 11.3.2024, עמ' 125). הפסקת התשלומים אינה מביאה להגשמת תכלית זו של פיצוי קורבנות הפיגועים.</w:t>
      </w:r>
    </w:p>
    <w:p w:rsidR="0015599B" w:rsidP="0015599B" w:rsidRDefault="0015599B">
      <w:pPr>
        <w:pStyle w:val="ad"/>
        <w:spacing w:after="0" w:line="360" w:lineRule="auto"/>
        <w:ind w:left="368"/>
        <w:jc w:val="both"/>
        <w:rPr>
          <w:rFonts w:ascii="David" w:hAnsi="David" w:cs="David"/>
        </w:rPr>
      </w:pPr>
    </w:p>
    <w:p w:rsidR="0015599B" w:rsidP="0015599B" w:rsidRDefault="0015599B">
      <w:pPr>
        <w:pStyle w:val="ad"/>
        <w:spacing w:after="0" w:line="360" w:lineRule="auto"/>
        <w:ind w:left="368"/>
        <w:jc w:val="both"/>
        <w:rPr>
          <w:rFonts w:ascii="David" w:hAnsi="David" w:cs="David"/>
        </w:rPr>
      </w:pPr>
      <w:r>
        <w:rPr>
          <w:rFonts w:ascii="David" w:hAnsi="David" w:cs="David"/>
          <w:rtl/>
        </w:rPr>
        <w:t xml:space="preserve">למעלה מכך, כעולה מתגובת הנתבעים, הם אינם מכירים בחומרה הנובעת מהתשלומים שהעבירה למפגעים עד כה ומנפקות העברת התשלומים. הנתבעים טענו בתגובתם כי התשלומים ששילמו למפגעים דנן בעבר היו תשלומים שנשאו "אופי סוציאלי", שלא נועדו לתגמל את מבצעי הפיגועים. הנתבעים אף לא הבהירו במפורש כי הפסיקו להעביר למפגעים תשלומים. הם טענו אמנם כי בוטלה הזכאות האוטומטית של אסירים בטחוניים לקבלת תשלומים, וכי הם מעבירים תשלומים לפי מנגנון תמיכה "שנשען על אמות מידה חדשות ואחידות, שעניינן מצב סוציואקונומי טהור", אך לא שללו כי בין מקבלי התשלומים נמנות גם משפחות המפגעים. בהיעדר בהירות מספקת בדבר מדיניות התשלומים החדשה הנטענת, ובדבר ההבדל בינה לבין מדיניות התשלומים שקדמה לה, ועל רקע התעקשותם של הנתבעים כי מעולם לא תגמלו מעשי טרור, מוטלת בספק הטענה כי הוגשמה תכליתו של חוק לפיצוי קורבנות טרור (להרחבה בדבר תכליותיו של חוק לפיצוי קורבנות טרור כעולה מפרוטוקול הדיון בועדת החוץ והביטחון מיום 5.3.2024 ראו בעניין יורשי עזבון המנוח פלוני, פסקאות 27 – 29). </w:t>
      </w:r>
    </w:p>
    <w:p w:rsidR="0015599B" w:rsidP="0015599B" w:rsidRDefault="0015599B">
      <w:pPr>
        <w:pStyle w:val="ad"/>
        <w:spacing w:after="0" w:line="360" w:lineRule="auto"/>
        <w:ind w:left="360"/>
        <w:jc w:val="both"/>
        <w:rPr>
          <w:rFonts w:ascii="David" w:hAnsi="David" w:cs="David"/>
          <w:rtl/>
        </w:rPr>
      </w:pPr>
    </w:p>
    <w:p w:rsidR="0015599B" w:rsidP="0015599B" w:rsidRDefault="0015599B">
      <w:pPr>
        <w:pStyle w:val="ad"/>
        <w:numPr>
          <w:ilvl w:val="0"/>
          <w:numId w:val="1"/>
        </w:numPr>
        <w:spacing w:after="0" w:line="360" w:lineRule="auto"/>
        <w:jc w:val="both"/>
        <w:rPr>
          <w:rFonts w:ascii="David" w:hAnsi="David" w:cs="David"/>
        </w:rPr>
      </w:pPr>
      <w:r>
        <w:rPr>
          <w:rFonts w:ascii="David" w:hAnsi="David" w:cs="David"/>
          <w:rtl/>
        </w:rPr>
        <w:t xml:space="preserve">לטענת הנתבעים יש להתחשב בהפסקת התשלומים וברמת המעורבות של הנתבעים בקביעת גובה הפיצוי לדוגמה. אין לקבל טענה זו. </w:t>
      </w:r>
    </w:p>
    <w:p w:rsidR="0015599B" w:rsidP="0015599B" w:rsidRDefault="0015599B">
      <w:pPr>
        <w:pStyle w:val="ad"/>
        <w:spacing w:after="0" w:line="360" w:lineRule="auto"/>
        <w:ind w:left="360"/>
        <w:jc w:val="both"/>
        <w:rPr>
          <w:rFonts w:ascii="David" w:hAnsi="David" w:cs="David"/>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סכומי הפיצוי לדוגמה המעוגנים בחוק לפיצוי קורבנות טרור הם סכומים אחידים קבועים, שאינם תלויים בשיעור הפגיעה או בעצמת הזיקה למעשה הטרור. לא ניתן ללמוד מלשון החוק כי ניתן לבית המשפט שיקול דעת בקביעת סכום הפיצוי. למעלה מכך, עסקינן בפיצוי לדוגמה שאינו תלוי בנזק, כך ששיעור הפגיעה או עצמת הזיקה למעשה הטרור אינם משפיעים בהכרח על גובה הפיצוי. בהתאם, אף אין בהפסקת התשלומים כדי להשליך על גובה הפיצוי (עניין עיזבון פלוני, פסקה 26, וכן ראו, בין היתר, בפסק הדין של כב' סגן הנשיא השופט א' דראל בת"א (מחוזי י-ם) 3361/09 </w:t>
      </w:r>
      <w:r>
        <w:rPr>
          <w:rFonts w:ascii="David" w:hAnsi="David" w:cs="David"/>
          <w:i/>
          <w:iCs/>
          <w:rtl/>
        </w:rPr>
        <w:t>יורשי בן שלום נ' הרשות הפלסטינית</w:t>
      </w:r>
      <w:r>
        <w:rPr>
          <w:rFonts w:ascii="David" w:hAnsi="David" w:cs="David"/>
          <w:rtl/>
        </w:rPr>
        <w:t xml:space="preserve">, פסקה 39 (19.11.2024) ובפסק הדין של כב' הנשיא השופט מ' סובל בת"א (מחוזי י-ם) 2538/00 </w:t>
      </w:r>
      <w:r>
        <w:rPr>
          <w:rFonts w:ascii="David" w:hAnsi="David" w:cs="David"/>
          <w:i/>
          <w:iCs/>
          <w:rtl/>
        </w:rPr>
        <w:t>פלונית נ' הרשות הפלסטינית</w:t>
      </w:r>
      <w:r>
        <w:rPr>
          <w:rFonts w:ascii="David" w:hAnsi="David" w:cs="David"/>
          <w:rtl/>
        </w:rPr>
        <w:t xml:space="preserve">, פסקה 6 (5.1.2025). </w:t>
      </w:r>
    </w:p>
    <w:p w:rsidR="0015599B" w:rsidP="0015599B" w:rsidRDefault="0015599B">
      <w:pPr>
        <w:pStyle w:val="ad"/>
        <w:spacing w:after="0" w:line="360" w:lineRule="auto"/>
        <w:ind w:left="360"/>
        <w:jc w:val="both"/>
        <w:rPr>
          <w:rFonts w:ascii="David" w:hAnsi="David" w:cs="David"/>
          <w:color w:val="FF0000"/>
          <w:rtl/>
        </w:rPr>
      </w:pPr>
    </w:p>
    <w:p w:rsidR="0015599B" w:rsidP="0015599B" w:rsidRDefault="0015599B">
      <w:pPr>
        <w:pStyle w:val="ad"/>
        <w:spacing w:after="0" w:line="360" w:lineRule="auto"/>
        <w:ind w:left="360"/>
        <w:jc w:val="both"/>
        <w:rPr>
          <w:rFonts w:ascii="David" w:hAnsi="David" w:cs="David"/>
          <w:rtl/>
        </w:rPr>
      </w:pPr>
      <w:r>
        <w:rPr>
          <w:rFonts w:ascii="David" w:hAnsi="David" w:cs="David"/>
          <w:rtl/>
        </w:rPr>
        <w:t xml:space="preserve">עולה, אם כן, כי הונחה תשתית ראייתית מספקת לכך שהתובעים זכאים לפיצוי לדוגמה בסך של 10,000,000 ₪ בגין מעשה הטרור שגרם למותה של המנוחה.  </w:t>
      </w:r>
    </w:p>
    <w:p w:rsidR="0015599B" w:rsidP="0015599B" w:rsidRDefault="0015599B">
      <w:pPr>
        <w:pStyle w:val="ad"/>
        <w:spacing w:after="0" w:line="360" w:lineRule="auto"/>
        <w:ind w:left="360"/>
        <w:jc w:val="both"/>
        <w:rPr>
          <w:rFonts w:ascii="David" w:hAnsi="David" w:cs="David"/>
          <w:b/>
          <w:bCs/>
          <w:u w:val="single"/>
          <w:rtl/>
        </w:rPr>
      </w:pPr>
    </w:p>
    <w:p w:rsidR="0015599B" w:rsidP="0015599B" w:rsidRDefault="0015599B">
      <w:pPr>
        <w:pStyle w:val="ad"/>
        <w:spacing w:after="0" w:line="360" w:lineRule="auto"/>
        <w:ind w:left="360"/>
        <w:jc w:val="both"/>
        <w:rPr>
          <w:rFonts w:ascii="David" w:hAnsi="David" w:cs="David"/>
          <w:b/>
          <w:bCs/>
          <w:u w:val="single"/>
          <w:rtl/>
        </w:rPr>
      </w:pPr>
    </w:p>
    <w:p w:rsidR="0015599B" w:rsidP="0015599B" w:rsidRDefault="0015599B">
      <w:pPr>
        <w:pStyle w:val="ad"/>
        <w:spacing w:after="0" w:line="360" w:lineRule="auto"/>
        <w:ind w:left="360"/>
        <w:jc w:val="both"/>
        <w:rPr>
          <w:rFonts w:ascii="David" w:hAnsi="David" w:cs="David"/>
          <w:b/>
          <w:bCs/>
          <w:u w:val="single"/>
          <w:rtl/>
        </w:rPr>
      </w:pPr>
    </w:p>
    <w:p w:rsidR="0015599B" w:rsidP="0015599B" w:rsidRDefault="0015599B">
      <w:pPr>
        <w:pStyle w:val="ad"/>
        <w:spacing w:after="0" w:line="360" w:lineRule="auto"/>
        <w:ind w:left="360"/>
        <w:jc w:val="both"/>
        <w:rPr>
          <w:rFonts w:ascii="David" w:hAnsi="David" w:cs="David"/>
          <w:b/>
          <w:bCs/>
          <w:u w:val="single"/>
          <w:rtl/>
        </w:rPr>
      </w:pPr>
    </w:p>
    <w:p w:rsidR="0015599B" w:rsidP="0015599B" w:rsidRDefault="0015599B">
      <w:pPr>
        <w:pStyle w:val="ad"/>
        <w:spacing w:after="0" w:line="360" w:lineRule="auto"/>
        <w:ind w:left="360"/>
        <w:jc w:val="both"/>
        <w:rPr>
          <w:rFonts w:ascii="David" w:hAnsi="David" w:cs="David"/>
          <w:b/>
          <w:bCs/>
          <w:u w:val="single"/>
          <w:rtl/>
        </w:rPr>
      </w:pPr>
      <w:r>
        <w:rPr>
          <w:rFonts w:ascii="David" w:hAnsi="David" w:cs="David"/>
          <w:b/>
          <w:bCs/>
          <w:u w:val="single"/>
          <w:rtl/>
        </w:rPr>
        <w:lastRenderedPageBreak/>
        <w:t>סוף דבר</w:t>
      </w:r>
    </w:p>
    <w:p w:rsidR="0015599B" w:rsidP="0015599B" w:rsidRDefault="0015599B">
      <w:pPr>
        <w:pStyle w:val="ad"/>
        <w:spacing w:after="0" w:line="360" w:lineRule="auto"/>
        <w:ind w:left="360"/>
        <w:jc w:val="both"/>
        <w:rPr>
          <w:rFonts w:ascii="David" w:hAnsi="David" w:cs="David"/>
          <w:b/>
          <w:bCs/>
          <w:u w:val="single"/>
          <w:rtl/>
        </w:rPr>
      </w:pPr>
    </w:p>
    <w:p w:rsidR="0015599B" w:rsidP="0015599B" w:rsidRDefault="0015599B">
      <w:pPr>
        <w:pStyle w:val="ad"/>
        <w:numPr>
          <w:ilvl w:val="0"/>
          <w:numId w:val="1"/>
        </w:numPr>
        <w:spacing w:after="0" w:line="360" w:lineRule="auto"/>
        <w:jc w:val="both"/>
        <w:rPr>
          <w:rFonts w:ascii="David" w:hAnsi="David" w:cs="David"/>
          <w:rtl/>
        </w:rPr>
      </w:pPr>
      <w:r>
        <w:rPr>
          <w:rFonts w:ascii="David" w:hAnsi="David" w:cs="David"/>
          <w:rtl/>
        </w:rPr>
        <w:t xml:space="preserve">אני מחייבת את הנתבעים לשלם פיצוי לדוגמה לתובעים, יורשי עזבון המנוחה, בסך של 10,000,000 ₪. הוצאות משפט ושכ"ט עו"ד ייפסקו במסגרת פסק הדין הסופי. </w:t>
      </w:r>
    </w:p>
    <w:p w:rsidR="0015599B" w:rsidP="0015599B" w:rsidRDefault="0015599B">
      <w:pPr>
        <w:rPr>
          <w:rtl/>
        </w:rPr>
      </w:pPr>
    </w:p>
    <w:bookmarkEnd w:id="0"/>
    <w:p w:rsidRPr="0015599B" w:rsidR="00694556" w:rsidP="0015599B" w:rsidRDefault="00694556">
      <w:pPr>
        <w:rPr>
          <w:rtl/>
        </w:rPr>
      </w:pPr>
    </w:p>
    <w:sectPr w:rsidRPr="0015599B" w:rsidR="00694556" w:rsidSect="00891F42">
      <w:headerReference w:type="even" r:id="rId10"/>
      <w:headerReference w:type="default" r:id="rId11"/>
      <w:footerReference w:type="even" r:id="rId12"/>
      <w:footerReference w:type="default" r:id="rId13"/>
      <w:headerReference w:type="first" r:id="rId14"/>
      <w:footerReference w:type="first" r:id="rId15"/>
      <w:pgSz w:w="11907" w:h="16840" w:code="9"/>
      <w:pgMar w:top="1440" w:right="1800" w:bottom="1440" w:left="1800" w:header="720" w:footer="510"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9B" w:rsidRDefault="0015599B">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24313" w:rsidR="00694556" w:rsidRDefault="000C3B60">
    <w:pPr>
      <w:pStyle w:val="a4"/>
      <w:jc w:val="center"/>
      <w:rPr>
        <w:rStyle w:val="ab"/>
        <w:rFonts w:ascii="David" w:hAnsi="David"/>
      </w:rPr>
    </w:pPr>
    <w:r w:rsidRPr="00424313">
      <w:rPr>
        <w:rStyle w:val="ab"/>
        <w:rFonts w:ascii="David" w:hAnsi="David"/>
      </w:rPr>
      <w:fldChar w:fldCharType="begin"/>
    </w:r>
    <w:r w:rsidRPr="00424313" w:rsidR="00005C8B">
      <w:rPr>
        <w:rStyle w:val="ab"/>
        <w:rFonts w:ascii="David" w:hAnsi="David"/>
      </w:rPr>
      <w:instrText xml:space="preserve"> PAGE </w:instrText>
    </w:r>
    <w:r w:rsidRPr="00424313">
      <w:rPr>
        <w:rStyle w:val="ab"/>
        <w:rFonts w:ascii="David" w:hAnsi="David"/>
      </w:rPr>
      <w:fldChar w:fldCharType="separate"/>
    </w:r>
    <w:r w:rsidR="0015599B">
      <w:rPr>
        <w:rStyle w:val="ab"/>
        <w:rFonts w:ascii="David" w:hAnsi="David"/>
        <w:rtl/>
      </w:rPr>
      <w:t>9</w:t>
    </w:r>
    <w:r w:rsidRPr="00424313">
      <w:rPr>
        <w:rStyle w:val="ab"/>
        <w:rFonts w:ascii="David" w:hAnsi="David"/>
      </w:rPr>
      <w:fldChar w:fldCharType="end"/>
    </w:r>
    <w:r w:rsidRPr="00424313" w:rsidR="00005C8B">
      <w:rPr>
        <w:rStyle w:val="ab"/>
        <w:rFonts w:ascii="David" w:hAnsi="David"/>
        <w:rtl/>
      </w:rPr>
      <w:t xml:space="preserve"> מתוך </w:t>
    </w:r>
    <w:r w:rsidRPr="00424313">
      <w:rPr>
        <w:rStyle w:val="ab"/>
        <w:rFonts w:ascii="David" w:hAnsi="David"/>
      </w:rPr>
      <w:fldChar w:fldCharType="begin"/>
    </w:r>
    <w:r w:rsidRPr="00424313" w:rsidR="00005C8B">
      <w:rPr>
        <w:rStyle w:val="ab"/>
        <w:rFonts w:ascii="David" w:hAnsi="David"/>
      </w:rPr>
      <w:instrText xml:space="preserve"> NUMPAGES </w:instrText>
    </w:r>
    <w:r w:rsidRPr="00424313">
      <w:rPr>
        <w:rStyle w:val="ab"/>
        <w:rFonts w:ascii="David" w:hAnsi="David"/>
      </w:rPr>
      <w:fldChar w:fldCharType="separate"/>
    </w:r>
    <w:r w:rsidR="0015599B">
      <w:rPr>
        <w:rStyle w:val="ab"/>
        <w:rFonts w:ascii="David" w:hAnsi="David"/>
        <w:rtl/>
      </w:rPr>
      <w:t>10</w:t>
    </w:r>
    <w:r w:rsidRPr="00424313">
      <w:rPr>
        <w:rStyle w:val="ab"/>
        <w:rFonts w:ascii="David" w:hAnsi="Davi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9B" w:rsidRDefault="0015599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9B" w:rsidRDefault="0015599B">
    <w:pPr>
      <w:pStyle w:val="a3"/>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DC1259">
    <w:pPr>
      <w:pStyle w:val="a3"/>
      <w:jc w:val="center"/>
      <w:rPr>
        <w:rFonts w:cs="FrankRuehl"/>
        <w:noProof w:val="0"/>
        <w:sz w:val="28"/>
        <w:szCs w:val="28"/>
        <w:rtl/>
      </w:rPr>
    </w:pPr>
    <w:r>
      <w:rPr>
        <w:rFonts w:cs="FrankRuehl"/>
        <w:sz w:val="28"/>
        <w:szCs w:val="28"/>
      </w:rPr>
      <w:drawing>
        <wp:inline distT="0" distB="0" distL="0" distR="0" wp14:anchorId="2535346B" wp14:editId="0528C5E4">
          <wp:extent cx="374015" cy="469265"/>
          <wp:effectExtent l="0" t="0" r="6985"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811"/>
      <w:gridCol w:w="3496"/>
    </w:tblGrid>
    <w:tr w:rsidR="00694556" w:rsidTr="00686C21">
      <w:trPr>
        <w:trHeight w:val="704" w:hRule="exact"/>
        <w:jc w:val="center"/>
      </w:trPr>
      <w:sdt>
        <w:sdtPr>
          <w:rPr>
            <w:rFonts w:ascii="Tahoma" w:hAnsi="Tahoma"/>
            <w:color w:val="000080"/>
            <w:sz w:val="32"/>
            <w:szCs w:val="32"/>
            <w:rtl/>
          </w:rPr>
          <w:alias w:val="1174"/>
          <w:tag w:val="1174"/>
          <w:id w:val="-1585920285"/>
          <w:text w:multiLine="1"/>
        </w:sdtPr>
        <w:sdtEndPr/>
        <w:sdtContent>
          <w:tc>
            <w:tcPr>
              <w:tcW w:w="8721" w:type="dxa"/>
              <w:gridSpan w:val="2"/>
            </w:tcPr>
            <w:p w:rsidRPr="00F038D8" w:rsidR="00694556" w:rsidP="003230C7" w:rsidRDefault="003D1C8C">
              <w:pPr>
                <w:pStyle w:val="a3"/>
                <w:jc w:val="center"/>
                <w:rPr>
                  <w:rFonts w:ascii="Tahoma" w:hAnsi="Tahoma"/>
                  <w:noProof w:val="0"/>
                  <w:color w:val="000080"/>
                  <w:sz w:val="32"/>
                  <w:szCs w:val="32"/>
                  <w:rtl/>
                </w:rPr>
              </w:pPr>
              <w:r w:rsidRPr="00F038D8">
                <w:rPr>
                  <w:rFonts w:ascii="Tahoma" w:hAnsi="Tahoma"/>
                  <w:color w:val="000080"/>
                  <w:sz w:val="32"/>
                  <w:szCs w:val="32"/>
                  <w:rtl/>
                </w:rPr>
                <w:t>בית המשפט המחוזי בירושלים</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7D45E3" w:rsidP="007C2453" w:rsidRDefault="0015599B">
          <w:pPr>
            <w:rPr>
              <w:b/>
              <w:bCs/>
              <w:noProof w:val="0"/>
              <w:sz w:val="26"/>
              <w:szCs w:val="26"/>
              <w:rtl/>
            </w:rPr>
          </w:pPr>
          <w:sdt>
            <w:sdtPr>
              <w:rPr>
                <w:rtl/>
              </w:rPr>
              <w:alias w:val="1170"/>
              <w:tag w:val="1170"/>
              <w:id w:val="1066377040"/>
              <w:text w:multiLine="1"/>
            </w:sdtPr>
            <w:sdtEndPr/>
            <w:sdtContent>
              <w:r w:rsidR="00424313">
                <w:rPr>
                  <w:b/>
                  <w:bCs/>
                  <w:noProof w:val="0"/>
                  <w:sz w:val="26"/>
                  <w:szCs w:val="26"/>
                  <w:rtl/>
                </w:rPr>
                <w:t>ת"א</w:t>
              </w:r>
            </w:sdtContent>
          </w:sdt>
          <w:r w:rsidR="00005C8B">
            <w:rPr>
              <w:b/>
              <w:bCs/>
              <w:noProof w:val="0"/>
              <w:sz w:val="26"/>
              <w:szCs w:val="26"/>
              <w:rtl/>
            </w:rPr>
            <w:t xml:space="preserve"> </w:t>
          </w:r>
          <w:sdt>
            <w:sdtPr>
              <w:rPr>
                <w:rtl/>
              </w:rPr>
              <w:alias w:val="1171"/>
              <w:tag w:val="1171"/>
              <w:id w:val="257034231"/>
              <w:text w:multiLine="1"/>
            </w:sdtPr>
            <w:sdtEndPr/>
            <w:sdtContent>
              <w:r w:rsidR="00424313">
                <w:rPr>
                  <w:b/>
                  <w:bCs/>
                  <w:noProof w:val="0"/>
                  <w:sz w:val="26"/>
                  <w:szCs w:val="26"/>
                  <w:rtl/>
                </w:rPr>
                <w:t>5076-09-24</w:t>
              </w:r>
            </w:sdtContent>
          </w:sdt>
          <w:r w:rsidR="00005C8B">
            <w:rPr>
              <w:b/>
              <w:bCs/>
              <w:noProof w:val="0"/>
              <w:sz w:val="26"/>
              <w:szCs w:val="26"/>
              <w:rtl/>
            </w:rPr>
            <w:t xml:space="preserve"> </w:t>
          </w:r>
          <w:sdt>
            <w:sdtPr>
              <w:rPr>
                <w:b/>
                <w:bCs/>
                <w:noProof w:val="0"/>
                <w:sz w:val="26"/>
                <w:szCs w:val="26"/>
                <w:rtl/>
              </w:rPr>
              <w:alias w:val="3154"/>
              <w:tag w:val="3154"/>
              <w:id w:val="-1285889662"/>
              <w:placeholder>
                <w:docPart w:val="F5EF4663D5094D57BB3FEC6B89CF5C8E"/>
              </w:placeholder>
              <w:text w:multiLine="1"/>
            </w:sdtPr>
            <w:sdtEndPr/>
            <w:sdtContent>
              <w:r w:rsidR="00424313">
                <w:rPr>
                  <w:b/>
                  <w:bCs/>
                  <w:noProof w:val="0"/>
                  <w:sz w:val="26"/>
                  <w:szCs w:val="26"/>
                  <w:rtl/>
                </w:rPr>
                <w:t>פלוני נ' הרשות הפלסטינית ואח'</w:t>
              </w:r>
            </w:sdtContent>
          </w:sdt>
          <w:r w:rsidR="007C2453">
            <w:rPr>
              <w:b/>
              <w:bCs/>
              <w:noProof w:val="0"/>
              <w:sz w:val="26"/>
              <w:szCs w:val="26"/>
              <w:rtl/>
            </w:rPr>
            <w:t xml:space="preserve"> </w:t>
          </w:r>
        </w:p>
        <w:p w:rsidRPr="007B7765" w:rsidR="007D45E3" w:rsidP="007D45E3" w:rsidRDefault="007D45E3">
          <w:pPr>
            <w:rPr>
              <w:b/>
              <w:bCs/>
              <w:noProof w:val="0"/>
              <w:sz w:val="2"/>
              <w:szCs w:val="2"/>
              <w:rtl/>
            </w:rPr>
          </w:pPr>
        </w:p>
        <w:p w:rsidR="007D45E3" w:rsidP="007D45E3" w:rsidRDefault="007D45E3">
          <w:pPr>
            <w:rPr>
              <w:sz w:val="20"/>
              <w:szCs w:val="20"/>
              <w:rtl/>
            </w:rPr>
          </w:pPr>
          <w:r>
            <w:rPr>
              <w:rFonts w:hint="cs"/>
              <w:rtl/>
            </w:rPr>
            <w:t xml:space="preserve">                           </w:t>
          </w:r>
          <w:r>
            <w:rPr>
              <w:rFonts w:hint="cs"/>
              <w:sz w:val="20"/>
              <w:szCs w:val="20"/>
              <w:rtl/>
            </w:rPr>
            <w:t xml:space="preserve">                                       </w:t>
          </w:r>
        </w:p>
        <w:p w:rsidRPr="00E1068A" w:rsidR="008D10B2" w:rsidP="007D45E3" w:rsidRDefault="008D10B2">
          <w:pPr>
            <w:rPr>
              <w:sz w:val="20"/>
              <w:szCs w:val="20"/>
              <w:rtl/>
            </w:rPr>
          </w:pPr>
          <w:r w:rsidRPr="00E1068A">
            <w:rPr>
              <w:rFonts w:hint="cs"/>
              <w:sz w:val="20"/>
              <w:szCs w:val="20"/>
              <w:rtl/>
            </w:rPr>
            <w:t xml:space="preserve">תיק חיצוני: </w:t>
          </w:r>
          <w:sdt>
            <w:sdtPr>
              <w:rPr>
                <w:rFonts w:hint="cs"/>
                <w:sz w:val="20"/>
                <w:szCs w:val="20"/>
                <w:rtl/>
              </w:rPr>
              <w:alias w:val="1198"/>
              <w:tag w:val="1198"/>
              <w:id w:val="-1755966748"/>
              <w:lock w:val="contentLocked"/>
              <w:placeholder>
                <w:docPart w:val="D290653DA13E4E738B7E725F79D73329"/>
              </w:placeholder>
              <w:text w:multiLine="1"/>
            </w:sdtPr>
            <w:sdtEndPr/>
            <w:sdtContent/>
          </w:sdt>
          <w:r w:rsidRPr="00E1068A" w:rsidR="007D45E3">
            <w:rPr>
              <w:rFonts w:hint="cs"/>
              <w:sz w:val="20"/>
              <w:szCs w:val="20"/>
              <w:rtl/>
            </w:rPr>
            <w:t xml:space="preserve"> </w:t>
          </w:r>
          <w:r w:rsidRPr="00E1068A" w:rsidR="007D45E3">
            <w:rPr>
              <w:sz w:val="20"/>
              <w:szCs w:val="20"/>
              <w:rtl/>
            </w:rPr>
            <w:t xml:space="preserve"> </w:t>
          </w:r>
          <w:r w:rsidR="001173C6">
            <w:rPr>
              <w:sz w:val="20"/>
              <w:szCs w:val="20"/>
              <w:rtl/>
            </w:rPr>
            <w:t xml:space="preserve"> </w:t>
          </w:r>
        </w:p>
      </w:tc>
    </w:tr>
  </w:tbl>
  <w:p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9B" w:rsidRDefault="0015599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07D3E"/>
    <w:multiLevelType w:val="multilevel"/>
    <w:tmpl w:val="6466008E"/>
    <w:lvl w:ilvl="0">
      <w:start w:val="1"/>
      <w:numFmt w:val="decimal"/>
      <w:lvlText w:val="%1."/>
      <w:lvlJc w:val="left"/>
      <w:pPr>
        <w:ind w:left="360" w:hanging="360"/>
      </w:pPr>
      <w:rPr>
        <w:rFonts w:ascii="David" w:hAnsi="David" w:cs="David"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16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226B"/>
    <w:rsid w:val="00005C8B"/>
    <w:rsid w:val="000529D2"/>
    <w:rsid w:val="000564AB"/>
    <w:rsid w:val="00064FBD"/>
    <w:rsid w:val="00082AB2"/>
    <w:rsid w:val="000906FE"/>
    <w:rsid w:val="00096AF7"/>
    <w:rsid w:val="000B344B"/>
    <w:rsid w:val="000C3B0F"/>
    <w:rsid w:val="000C3B60"/>
    <w:rsid w:val="000E0DD2"/>
    <w:rsid w:val="000E3AF1"/>
    <w:rsid w:val="000F0BC8"/>
    <w:rsid w:val="000F0DD6"/>
    <w:rsid w:val="00107E6D"/>
    <w:rsid w:val="0011194C"/>
    <w:rsid w:val="0011424C"/>
    <w:rsid w:val="001173C6"/>
    <w:rsid w:val="00122A9F"/>
    <w:rsid w:val="001367BC"/>
    <w:rsid w:val="00144D2A"/>
    <w:rsid w:val="0014653E"/>
    <w:rsid w:val="0015599B"/>
    <w:rsid w:val="00170EA5"/>
    <w:rsid w:val="00180519"/>
    <w:rsid w:val="00191C82"/>
    <w:rsid w:val="001C4003"/>
    <w:rsid w:val="001D4DBF"/>
    <w:rsid w:val="001E75CA"/>
    <w:rsid w:val="002265FF"/>
    <w:rsid w:val="00271B56"/>
    <w:rsid w:val="00272E32"/>
    <w:rsid w:val="002C344E"/>
    <w:rsid w:val="002E75E9"/>
    <w:rsid w:val="002F0B1E"/>
    <w:rsid w:val="00307A6A"/>
    <w:rsid w:val="00307C40"/>
    <w:rsid w:val="00320433"/>
    <w:rsid w:val="003230C7"/>
    <w:rsid w:val="00327E50"/>
    <w:rsid w:val="0033597A"/>
    <w:rsid w:val="00343D89"/>
    <w:rsid w:val="00362612"/>
    <w:rsid w:val="0036743F"/>
    <w:rsid w:val="003715DD"/>
    <w:rsid w:val="003823E0"/>
    <w:rsid w:val="003A4521"/>
    <w:rsid w:val="003D1C8C"/>
    <w:rsid w:val="003E38C7"/>
    <w:rsid w:val="0040096C"/>
    <w:rsid w:val="00414F1F"/>
    <w:rsid w:val="00422BEE"/>
    <w:rsid w:val="00424313"/>
    <w:rsid w:val="0043125D"/>
    <w:rsid w:val="0043502B"/>
    <w:rsid w:val="004443AC"/>
    <w:rsid w:val="00444B02"/>
    <w:rsid w:val="00451E28"/>
    <w:rsid w:val="00462C62"/>
    <w:rsid w:val="00465D36"/>
    <w:rsid w:val="004C17EE"/>
    <w:rsid w:val="004C4BDF"/>
    <w:rsid w:val="004D1187"/>
    <w:rsid w:val="004D3AA0"/>
    <w:rsid w:val="004E1987"/>
    <w:rsid w:val="004E2E15"/>
    <w:rsid w:val="004E6E3C"/>
    <w:rsid w:val="00520898"/>
    <w:rsid w:val="00523621"/>
    <w:rsid w:val="00524986"/>
    <w:rsid w:val="005268F6"/>
    <w:rsid w:val="00534284"/>
    <w:rsid w:val="0054140F"/>
    <w:rsid w:val="00547DB7"/>
    <w:rsid w:val="00557717"/>
    <w:rsid w:val="00576A86"/>
    <w:rsid w:val="005F4F09"/>
    <w:rsid w:val="00603F73"/>
    <w:rsid w:val="0061431B"/>
    <w:rsid w:val="00622BAA"/>
    <w:rsid w:val="006306CF"/>
    <w:rsid w:val="00644E9A"/>
    <w:rsid w:val="00671BD5"/>
    <w:rsid w:val="006805C1"/>
    <w:rsid w:val="00686C21"/>
    <w:rsid w:val="006931C1"/>
    <w:rsid w:val="00694556"/>
    <w:rsid w:val="006C30C5"/>
    <w:rsid w:val="006D3B31"/>
    <w:rsid w:val="006E0D96"/>
    <w:rsid w:val="006E1A53"/>
    <w:rsid w:val="006F56E6"/>
    <w:rsid w:val="00704EDA"/>
    <w:rsid w:val="00721122"/>
    <w:rsid w:val="00734689"/>
    <w:rsid w:val="007351F7"/>
    <w:rsid w:val="00753019"/>
    <w:rsid w:val="00754801"/>
    <w:rsid w:val="00761441"/>
    <w:rsid w:val="00795365"/>
    <w:rsid w:val="007A351D"/>
    <w:rsid w:val="007B7765"/>
    <w:rsid w:val="007C2453"/>
    <w:rsid w:val="007C5BDD"/>
    <w:rsid w:val="007D45E3"/>
    <w:rsid w:val="007E6115"/>
    <w:rsid w:val="007F4609"/>
    <w:rsid w:val="00805EFF"/>
    <w:rsid w:val="00814468"/>
    <w:rsid w:val="008176A1"/>
    <w:rsid w:val="00820005"/>
    <w:rsid w:val="00844318"/>
    <w:rsid w:val="00860102"/>
    <w:rsid w:val="00863F5D"/>
    <w:rsid w:val="00870890"/>
    <w:rsid w:val="00873602"/>
    <w:rsid w:val="00875D12"/>
    <w:rsid w:val="00876170"/>
    <w:rsid w:val="0088479D"/>
    <w:rsid w:val="00891F42"/>
    <w:rsid w:val="00896889"/>
    <w:rsid w:val="008A6E97"/>
    <w:rsid w:val="008C5714"/>
    <w:rsid w:val="008D10B2"/>
    <w:rsid w:val="00903896"/>
    <w:rsid w:val="00906F3D"/>
    <w:rsid w:val="0094424E"/>
    <w:rsid w:val="00955642"/>
    <w:rsid w:val="009622DF"/>
    <w:rsid w:val="0096493F"/>
    <w:rsid w:val="00967DFF"/>
    <w:rsid w:val="00994341"/>
    <w:rsid w:val="009D1A48"/>
    <w:rsid w:val="009E1CE7"/>
    <w:rsid w:val="009E461A"/>
    <w:rsid w:val="009E4EA5"/>
    <w:rsid w:val="009F164B"/>
    <w:rsid w:val="009F323C"/>
    <w:rsid w:val="00A3392B"/>
    <w:rsid w:val="00A46717"/>
    <w:rsid w:val="00A85E34"/>
    <w:rsid w:val="00A9144F"/>
    <w:rsid w:val="00A94B64"/>
    <w:rsid w:val="00AA3229"/>
    <w:rsid w:val="00AA7596"/>
    <w:rsid w:val="00AB3AE3"/>
    <w:rsid w:val="00AB5E52"/>
    <w:rsid w:val="00AC3B02"/>
    <w:rsid w:val="00AC3B7B"/>
    <w:rsid w:val="00AC5209"/>
    <w:rsid w:val="00AE0E34"/>
    <w:rsid w:val="00AE729E"/>
    <w:rsid w:val="00AE7752"/>
    <w:rsid w:val="00AF7FDA"/>
    <w:rsid w:val="00B5356E"/>
    <w:rsid w:val="00B809AD"/>
    <w:rsid w:val="00B80CBD"/>
    <w:rsid w:val="00B859C5"/>
    <w:rsid w:val="00B86096"/>
    <w:rsid w:val="00B964D9"/>
    <w:rsid w:val="00BA0A7C"/>
    <w:rsid w:val="00BA517C"/>
    <w:rsid w:val="00BB3D05"/>
    <w:rsid w:val="00BB53D3"/>
    <w:rsid w:val="00BB73BE"/>
    <w:rsid w:val="00BC2D89"/>
    <w:rsid w:val="00BD6531"/>
    <w:rsid w:val="00BE05B2"/>
    <w:rsid w:val="00BF1908"/>
    <w:rsid w:val="00C22D93"/>
    <w:rsid w:val="00C23458"/>
    <w:rsid w:val="00C23AC9"/>
    <w:rsid w:val="00C31120"/>
    <w:rsid w:val="00C34482"/>
    <w:rsid w:val="00C43648"/>
    <w:rsid w:val="00C50A9F"/>
    <w:rsid w:val="00C642FA"/>
    <w:rsid w:val="00C770E3"/>
    <w:rsid w:val="00CC7622"/>
    <w:rsid w:val="00CD608F"/>
    <w:rsid w:val="00CF6BB7"/>
    <w:rsid w:val="00D04AA4"/>
    <w:rsid w:val="00D27982"/>
    <w:rsid w:val="00D33B86"/>
    <w:rsid w:val="00D44968"/>
    <w:rsid w:val="00D53924"/>
    <w:rsid w:val="00D55D0C"/>
    <w:rsid w:val="00D96D8C"/>
    <w:rsid w:val="00DA2495"/>
    <w:rsid w:val="00DA6649"/>
    <w:rsid w:val="00DC1259"/>
    <w:rsid w:val="00DC1BD2"/>
    <w:rsid w:val="00DC2571"/>
    <w:rsid w:val="00DC487C"/>
    <w:rsid w:val="00DD05A8"/>
    <w:rsid w:val="00DD4335"/>
    <w:rsid w:val="00DE1E7D"/>
    <w:rsid w:val="00DE6BF6"/>
    <w:rsid w:val="00E00709"/>
    <w:rsid w:val="00E1068A"/>
    <w:rsid w:val="00E25884"/>
    <w:rsid w:val="00E25B55"/>
    <w:rsid w:val="00E31C2B"/>
    <w:rsid w:val="00E5426A"/>
    <w:rsid w:val="00E54642"/>
    <w:rsid w:val="00E80CBE"/>
    <w:rsid w:val="00E9269D"/>
    <w:rsid w:val="00E962E3"/>
    <w:rsid w:val="00EB6C79"/>
    <w:rsid w:val="00EC37E9"/>
    <w:rsid w:val="00F038D8"/>
    <w:rsid w:val="00F06995"/>
    <w:rsid w:val="00F12D66"/>
    <w:rsid w:val="00F13623"/>
    <w:rsid w:val="00F44D1D"/>
    <w:rsid w:val="00F84B6D"/>
    <w:rsid w:val="00F957E8"/>
    <w:rsid w:val="00FA311A"/>
    <w:rsid w:val="00FA5FDA"/>
    <w:rsid w:val="00FB6AB3"/>
    <w:rsid w:val="00FD1419"/>
    <w:rsid w:val="00FD79E4"/>
    <w:rsid w:val="00FE2894"/>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1"/>
    </o:shapelayout>
  </w:shapeDefaults>
  <w:decimalSymbol w:val="."/>
  <w:listSeparator w:val=","/>
  <w14:docId w14:val="1FF58EAB"/>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3230C7"/>
    <w:rPr>
      <w:color w:val="808080"/>
    </w:rPr>
  </w:style>
  <w:style w:type="paragraph" w:styleId="ad">
    <w:name w:val="List Paragraph"/>
    <w:basedOn w:val="a"/>
    <w:uiPriority w:val="34"/>
    <w:qFormat/>
    <w:rsid w:val="0015599B"/>
    <w:pPr>
      <w:spacing w:after="160" w:line="276" w:lineRule="auto"/>
      <w:ind w:left="720"/>
      <w:contextualSpacing/>
    </w:pPr>
    <w:rPr>
      <w:rFonts w:asciiTheme="minorHAnsi" w:eastAsiaTheme="minorHAnsi" w:hAnsiTheme="minorHAnsi" w:cstheme="minorBidi"/>
      <w:noProof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869668">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90653DA13E4E738B7E725F79D73329"/>
        <w:category>
          <w:name w:val="כללי"/>
          <w:gallery w:val="placeholder"/>
        </w:category>
        <w:types>
          <w:type w:val="bbPlcHdr"/>
        </w:types>
        <w:behaviors>
          <w:behavior w:val="content"/>
        </w:behaviors>
        <w:guid w:val="{A03D6ABB-52CE-4E84-8467-25FC78F3B2B0}"/>
      </w:docPartPr>
      <w:docPartBody>
        <w:p w:rsidR="00E31BF6" w:rsidRDefault="006377AB" w:rsidP="006377AB">
          <w:pPr>
            <w:pStyle w:val="D290653DA13E4E738B7E725F79D7332920"/>
          </w:pPr>
          <w:r>
            <w:rPr>
              <w:rFonts w:hint="eastAsia"/>
              <w:sz w:val="20"/>
              <w:szCs w:val="20"/>
              <w:rtl/>
            </w:rPr>
            <w:t>מספר</w:t>
          </w:r>
          <w:r>
            <w:rPr>
              <w:sz w:val="20"/>
              <w:szCs w:val="20"/>
              <w:rtl/>
            </w:rPr>
            <w:t xml:space="preserve"> תיק חיצוני</w:t>
          </w:r>
        </w:p>
      </w:docPartBody>
    </w:docPart>
    <w:docPart>
      <w:docPartPr>
        <w:name w:val="F5EF4663D5094D57BB3FEC6B89CF5C8E"/>
        <w:category>
          <w:name w:val="כללי"/>
          <w:gallery w:val="placeholder"/>
        </w:category>
        <w:types>
          <w:type w:val="bbPlcHdr"/>
        </w:types>
        <w:behaviors>
          <w:behavior w:val="content"/>
        </w:behaviors>
        <w:guid w:val="{7E0A614E-80C5-44FD-87E0-2CF97AE84F43}"/>
      </w:docPartPr>
      <w:docPartBody>
        <w:p w:rsidR="00CE1DCB" w:rsidRDefault="006377AB" w:rsidP="006377AB">
          <w:pPr>
            <w:pStyle w:val="F5EF4663D5094D57BB3FEC6B89CF5C8E5"/>
          </w:pPr>
          <w:r>
            <w:rPr>
              <w:b/>
              <w:bCs/>
              <w:noProof w:val="0"/>
              <w:sz w:val="26"/>
              <w:szCs w:val="26"/>
              <w:rtl/>
            </w:rPr>
            <w:t>שם תיק ללא שמות חסויים</w:t>
          </w:r>
        </w:p>
      </w:docPartBody>
    </w:docPart>
    <w:docPart>
      <w:docPartPr>
        <w:name w:val="78B341F7CF9740D8BE0D8CF9789D3BDC"/>
        <w:category>
          <w:name w:val="כללי"/>
          <w:gallery w:val="placeholder"/>
        </w:category>
        <w:types>
          <w:type w:val="bbPlcHdr"/>
        </w:types>
        <w:behaviors>
          <w:behavior w:val="content"/>
        </w:behaviors>
        <w:guid w:val="{8079B064-102D-4FD6-B03D-29955F899EFE}"/>
      </w:docPartPr>
      <w:docPartBody>
        <w:p w:rsidR="00000000" w:rsidRDefault="00382B65" w:rsidP="00382B65">
          <w:pPr>
            <w:pStyle w:val="78B341F7CF9740D8BE0D8CF9789D3BDC"/>
          </w:pPr>
          <w:r>
            <w:rPr>
              <w:rFonts w:ascii="Arial" w:hAnsi="Arial"/>
              <w:b/>
              <w:bCs/>
              <w:sz w:val="26"/>
              <w:szCs w:val="26"/>
              <w:rtl/>
            </w:rPr>
            <w:t>שם צד א' ללא שם של חסוי</w:t>
          </w:r>
        </w:p>
      </w:docPartBody>
    </w:docPart>
    <w:docPart>
      <w:docPartPr>
        <w:name w:val="CCAFDFDB1296405884B3AA03C01C9FF6"/>
        <w:category>
          <w:name w:val="כללי"/>
          <w:gallery w:val="placeholder"/>
        </w:category>
        <w:types>
          <w:type w:val="bbPlcHdr"/>
        </w:types>
        <w:behaviors>
          <w:behavior w:val="content"/>
        </w:behaviors>
        <w:guid w:val="{4A5E843C-D23E-4F5A-B9E9-B6BF766CFF83}"/>
      </w:docPartPr>
      <w:docPartBody>
        <w:p w:rsidR="00000000" w:rsidRDefault="00382B65" w:rsidP="00382B65">
          <w:pPr>
            <w:pStyle w:val="CCAFDFDB1296405884B3AA03C01C9FF6"/>
          </w:pPr>
          <w:r>
            <w:rPr>
              <w:rFonts w:ascii="Arial" w:hAnsi="Arial"/>
              <w:b/>
              <w:bCs/>
              <w:sz w:val="26"/>
              <w:szCs w:val="26"/>
              <w:rtl/>
            </w:rPr>
            <w:t>שם צד ב' ללא שם של חסוי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77CC"/>
    <w:rsid w:val="000A4ACE"/>
    <w:rsid w:val="001D696D"/>
    <w:rsid w:val="002D02C4"/>
    <w:rsid w:val="00345C9D"/>
    <w:rsid w:val="00382B65"/>
    <w:rsid w:val="0048651F"/>
    <w:rsid w:val="005157ED"/>
    <w:rsid w:val="005171E8"/>
    <w:rsid w:val="00556D67"/>
    <w:rsid w:val="006377AB"/>
    <w:rsid w:val="00793995"/>
    <w:rsid w:val="007C6F98"/>
    <w:rsid w:val="007E254A"/>
    <w:rsid w:val="00817811"/>
    <w:rsid w:val="008B4366"/>
    <w:rsid w:val="009133C7"/>
    <w:rsid w:val="009178E4"/>
    <w:rsid w:val="00961B27"/>
    <w:rsid w:val="009A4BEE"/>
    <w:rsid w:val="00A51CA1"/>
    <w:rsid w:val="00AA7CE3"/>
    <w:rsid w:val="00AD53D7"/>
    <w:rsid w:val="00B50DB2"/>
    <w:rsid w:val="00B91FA3"/>
    <w:rsid w:val="00BE6557"/>
    <w:rsid w:val="00C96C06"/>
    <w:rsid w:val="00CE1DCB"/>
    <w:rsid w:val="00D24521"/>
    <w:rsid w:val="00E31BF6"/>
    <w:rsid w:val="00E81DB1"/>
    <w:rsid w:val="00F00DF8"/>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77AB"/>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5157ED"/>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5157ED"/>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5157ED"/>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5157ED"/>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5157ED"/>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5157ED"/>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5157ED"/>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D7717"/>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D7717"/>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D7717"/>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D7717"/>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D7717"/>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BE6557"/>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BE6557"/>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BE6557"/>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BE6557"/>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BE6557"/>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BE6557"/>
    <w:pPr>
      <w:bidi/>
      <w:spacing w:after="0" w:line="240" w:lineRule="auto"/>
    </w:pPr>
    <w:rPr>
      <w:rFonts w:ascii="Times New Roman" w:eastAsia="Times New Roman" w:hAnsi="Times New Roman" w:cs="David"/>
      <w:noProof/>
      <w:sz w:val="24"/>
      <w:szCs w:val="24"/>
    </w:rPr>
  </w:style>
  <w:style w:type="paragraph" w:customStyle="1" w:styleId="E51F371F67C640BBA5DF437EA85FCA4F">
    <w:name w:val="E51F371F67C640BBA5DF437EA85FCA4F"/>
    <w:rsid w:val="00BE6557"/>
    <w:pPr>
      <w:bidi/>
      <w:spacing w:after="160" w:line="259" w:lineRule="auto"/>
    </w:pPr>
  </w:style>
  <w:style w:type="paragraph" w:customStyle="1" w:styleId="361372C4DB7441E9BE125AC684A25A0C">
    <w:name w:val="361372C4DB7441E9BE125AC684A25A0C"/>
    <w:rsid w:val="00BE6557"/>
    <w:pPr>
      <w:bidi/>
      <w:spacing w:after="160" w:line="259" w:lineRule="auto"/>
    </w:pPr>
  </w:style>
  <w:style w:type="paragraph" w:customStyle="1" w:styleId="B991E1A8405A4081916BCB7F7B4904F4">
    <w:name w:val="B991E1A8405A4081916BCB7F7B4904F4"/>
    <w:rsid w:val="00BE6557"/>
    <w:pPr>
      <w:bidi/>
      <w:spacing w:after="160" w:line="259" w:lineRule="auto"/>
    </w:pPr>
  </w:style>
  <w:style w:type="paragraph" w:customStyle="1" w:styleId="91567ABB6F614CDF8F211944D11D8557">
    <w:name w:val="91567ABB6F614CDF8F211944D11D8557"/>
    <w:rsid w:val="00BE6557"/>
    <w:pPr>
      <w:bidi/>
      <w:spacing w:after="160" w:line="259" w:lineRule="auto"/>
    </w:pPr>
  </w:style>
  <w:style w:type="paragraph" w:customStyle="1" w:styleId="361372C4DB7441E9BE125AC684A25A0C1">
    <w:name w:val="361372C4DB7441E9BE125AC684A25A0C1"/>
    <w:rsid w:val="00D24521"/>
    <w:pPr>
      <w:bidi/>
      <w:spacing w:after="0" w:line="240" w:lineRule="auto"/>
    </w:pPr>
    <w:rPr>
      <w:rFonts w:ascii="Times New Roman" w:eastAsia="Times New Roman" w:hAnsi="Times New Roman" w:cs="David"/>
      <w:noProof/>
      <w:sz w:val="24"/>
      <w:szCs w:val="24"/>
    </w:rPr>
  </w:style>
  <w:style w:type="paragraph" w:customStyle="1" w:styleId="B991E1A8405A4081916BCB7F7B4904F41">
    <w:name w:val="B991E1A8405A4081916BCB7F7B4904F41"/>
    <w:rsid w:val="00D24521"/>
    <w:pPr>
      <w:bidi/>
      <w:spacing w:after="0" w:line="240" w:lineRule="auto"/>
    </w:pPr>
    <w:rPr>
      <w:rFonts w:ascii="Times New Roman" w:eastAsia="Times New Roman" w:hAnsi="Times New Roman" w:cs="David"/>
      <w:noProof/>
      <w:sz w:val="24"/>
      <w:szCs w:val="24"/>
    </w:rPr>
  </w:style>
  <w:style w:type="paragraph" w:customStyle="1" w:styleId="91567ABB6F614CDF8F211944D11D85571">
    <w:name w:val="91567ABB6F614CDF8F211944D11D85571"/>
    <w:rsid w:val="00D24521"/>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D24521"/>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D24521"/>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D24521"/>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D24521"/>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D24521"/>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D24521"/>
    <w:pPr>
      <w:bidi/>
      <w:spacing w:after="0" w:line="240" w:lineRule="auto"/>
    </w:pPr>
    <w:rPr>
      <w:rFonts w:ascii="Times New Roman" w:eastAsia="Times New Roman" w:hAnsi="Times New Roman" w:cs="David"/>
      <w:noProof/>
      <w:sz w:val="24"/>
      <w:szCs w:val="24"/>
    </w:rPr>
  </w:style>
  <w:style w:type="paragraph" w:customStyle="1" w:styleId="361372C4DB7441E9BE125AC684A25A0C2">
    <w:name w:val="361372C4DB7441E9BE125AC684A25A0C2"/>
    <w:rsid w:val="00B50DB2"/>
    <w:pPr>
      <w:bidi/>
      <w:spacing w:after="0" w:line="240" w:lineRule="auto"/>
    </w:pPr>
    <w:rPr>
      <w:rFonts w:ascii="Times New Roman" w:eastAsia="Times New Roman" w:hAnsi="Times New Roman" w:cs="David"/>
      <w:noProof/>
      <w:sz w:val="24"/>
      <w:szCs w:val="24"/>
    </w:rPr>
  </w:style>
  <w:style w:type="paragraph" w:customStyle="1" w:styleId="B991E1A8405A4081916BCB7F7B4904F42">
    <w:name w:val="B991E1A8405A4081916BCB7F7B4904F42"/>
    <w:rsid w:val="00B50DB2"/>
    <w:pPr>
      <w:bidi/>
      <w:spacing w:after="0" w:line="240" w:lineRule="auto"/>
    </w:pPr>
    <w:rPr>
      <w:rFonts w:ascii="Times New Roman" w:eastAsia="Times New Roman" w:hAnsi="Times New Roman" w:cs="David"/>
      <w:noProof/>
      <w:sz w:val="24"/>
      <w:szCs w:val="24"/>
    </w:rPr>
  </w:style>
  <w:style w:type="paragraph" w:customStyle="1" w:styleId="91567ABB6F614CDF8F211944D11D85572">
    <w:name w:val="91567ABB6F614CDF8F211944D11D85572"/>
    <w:rsid w:val="00B50DB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B50DB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B50DB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B50DB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B50DB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B50DB2"/>
    <w:pPr>
      <w:bidi/>
      <w:spacing w:after="0" w:line="240" w:lineRule="auto"/>
    </w:pPr>
    <w:rPr>
      <w:rFonts w:ascii="Times New Roman" w:eastAsia="Times New Roman" w:hAnsi="Times New Roman" w:cs="David"/>
      <w:noProof/>
      <w:sz w:val="24"/>
      <w:szCs w:val="24"/>
    </w:rPr>
  </w:style>
  <w:style w:type="paragraph" w:customStyle="1" w:styleId="D290653DA13E4E738B7E725F79D7332911">
    <w:name w:val="D290653DA13E4E738B7E725F79D7332911"/>
    <w:rsid w:val="00B50DB2"/>
    <w:pPr>
      <w:bidi/>
      <w:spacing w:after="0" w:line="240" w:lineRule="auto"/>
    </w:pPr>
    <w:rPr>
      <w:rFonts w:ascii="Times New Roman" w:eastAsia="Times New Roman" w:hAnsi="Times New Roman" w:cs="David"/>
      <w:noProof/>
      <w:sz w:val="24"/>
      <w:szCs w:val="24"/>
    </w:rPr>
  </w:style>
  <w:style w:type="paragraph" w:customStyle="1" w:styleId="361372C4DB7441E9BE125AC684A25A0C3">
    <w:name w:val="361372C4DB7441E9BE125AC684A25A0C3"/>
    <w:rsid w:val="00F00DF8"/>
    <w:pPr>
      <w:bidi/>
      <w:spacing w:after="0" w:line="240" w:lineRule="auto"/>
    </w:pPr>
    <w:rPr>
      <w:rFonts w:ascii="Times New Roman" w:eastAsia="Times New Roman" w:hAnsi="Times New Roman" w:cs="David"/>
      <w:noProof/>
      <w:sz w:val="24"/>
      <w:szCs w:val="24"/>
    </w:rPr>
  </w:style>
  <w:style w:type="paragraph" w:customStyle="1" w:styleId="B991E1A8405A4081916BCB7F7B4904F43">
    <w:name w:val="B991E1A8405A4081916BCB7F7B4904F43"/>
    <w:rsid w:val="00F00DF8"/>
    <w:pPr>
      <w:bidi/>
      <w:spacing w:after="0" w:line="240" w:lineRule="auto"/>
    </w:pPr>
    <w:rPr>
      <w:rFonts w:ascii="Times New Roman" w:eastAsia="Times New Roman" w:hAnsi="Times New Roman" w:cs="David"/>
      <w:noProof/>
      <w:sz w:val="24"/>
      <w:szCs w:val="24"/>
    </w:rPr>
  </w:style>
  <w:style w:type="paragraph" w:customStyle="1" w:styleId="91567ABB6F614CDF8F211944D11D85573">
    <w:name w:val="91567ABB6F614CDF8F211944D11D85573"/>
    <w:rsid w:val="00F00DF8"/>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F00DF8"/>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F00DF8"/>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F00DF8"/>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F00DF8"/>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F00DF8"/>
    <w:pPr>
      <w:bidi/>
      <w:spacing w:after="0" w:line="240" w:lineRule="auto"/>
    </w:pPr>
    <w:rPr>
      <w:rFonts w:ascii="Times New Roman" w:eastAsia="Times New Roman" w:hAnsi="Times New Roman" w:cs="David"/>
      <w:noProof/>
      <w:sz w:val="24"/>
      <w:szCs w:val="24"/>
    </w:rPr>
  </w:style>
  <w:style w:type="paragraph" w:customStyle="1" w:styleId="D290653DA13E4E738B7E725F79D7332912">
    <w:name w:val="D290653DA13E4E738B7E725F79D7332912"/>
    <w:rsid w:val="00F00DF8"/>
    <w:pPr>
      <w:bidi/>
      <w:spacing w:after="0" w:line="240" w:lineRule="auto"/>
    </w:pPr>
    <w:rPr>
      <w:rFonts w:ascii="Times New Roman" w:eastAsia="Times New Roman" w:hAnsi="Times New Roman" w:cs="David"/>
      <w:noProof/>
      <w:sz w:val="24"/>
      <w:szCs w:val="24"/>
    </w:rPr>
  </w:style>
  <w:style w:type="paragraph" w:customStyle="1" w:styleId="361372C4DB7441E9BE125AC684A25A0C4">
    <w:name w:val="361372C4DB7441E9BE125AC684A25A0C4"/>
    <w:rsid w:val="00A51CA1"/>
    <w:pPr>
      <w:bidi/>
      <w:spacing w:after="0" w:line="240" w:lineRule="auto"/>
    </w:pPr>
    <w:rPr>
      <w:rFonts w:ascii="Times New Roman" w:eastAsia="Times New Roman" w:hAnsi="Times New Roman" w:cs="David"/>
      <w:noProof/>
      <w:sz w:val="24"/>
      <w:szCs w:val="24"/>
    </w:rPr>
  </w:style>
  <w:style w:type="paragraph" w:customStyle="1" w:styleId="B991E1A8405A4081916BCB7F7B4904F44">
    <w:name w:val="B991E1A8405A4081916BCB7F7B4904F44"/>
    <w:rsid w:val="00A51CA1"/>
    <w:pPr>
      <w:bidi/>
      <w:spacing w:after="0" w:line="240" w:lineRule="auto"/>
    </w:pPr>
    <w:rPr>
      <w:rFonts w:ascii="Times New Roman" w:eastAsia="Times New Roman" w:hAnsi="Times New Roman" w:cs="David"/>
      <w:noProof/>
      <w:sz w:val="24"/>
      <w:szCs w:val="24"/>
    </w:rPr>
  </w:style>
  <w:style w:type="paragraph" w:customStyle="1" w:styleId="91567ABB6F614CDF8F211944D11D85574">
    <w:name w:val="91567ABB6F614CDF8F211944D11D85574"/>
    <w:rsid w:val="00A51CA1"/>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A51CA1"/>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A51CA1"/>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A51CA1"/>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A51CA1"/>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A51CA1"/>
    <w:pPr>
      <w:bidi/>
      <w:spacing w:after="0" w:line="240" w:lineRule="auto"/>
    </w:pPr>
    <w:rPr>
      <w:rFonts w:ascii="Times New Roman" w:eastAsia="Times New Roman" w:hAnsi="Times New Roman" w:cs="David"/>
      <w:noProof/>
      <w:sz w:val="24"/>
      <w:szCs w:val="24"/>
    </w:rPr>
  </w:style>
  <w:style w:type="paragraph" w:customStyle="1" w:styleId="D290653DA13E4E738B7E725F79D7332913">
    <w:name w:val="D290653DA13E4E738B7E725F79D7332913"/>
    <w:rsid w:val="00A51CA1"/>
    <w:pPr>
      <w:bidi/>
      <w:spacing w:after="0" w:line="240" w:lineRule="auto"/>
    </w:pPr>
    <w:rPr>
      <w:rFonts w:ascii="Times New Roman" w:eastAsia="Times New Roman" w:hAnsi="Times New Roman" w:cs="David"/>
      <w:noProof/>
      <w:sz w:val="24"/>
      <w:szCs w:val="24"/>
    </w:rPr>
  </w:style>
  <w:style w:type="paragraph" w:customStyle="1" w:styleId="361372C4DB7441E9BE125AC684A25A0C5">
    <w:name w:val="361372C4DB7441E9BE125AC684A25A0C5"/>
    <w:rsid w:val="009A4BEE"/>
    <w:pPr>
      <w:bidi/>
      <w:spacing w:after="0" w:line="240" w:lineRule="auto"/>
    </w:pPr>
    <w:rPr>
      <w:rFonts w:ascii="Times New Roman" w:eastAsia="Times New Roman" w:hAnsi="Times New Roman" w:cs="David"/>
      <w:noProof/>
      <w:sz w:val="24"/>
      <w:szCs w:val="24"/>
    </w:rPr>
  </w:style>
  <w:style w:type="paragraph" w:customStyle="1" w:styleId="B991E1A8405A4081916BCB7F7B4904F45">
    <w:name w:val="B991E1A8405A4081916BCB7F7B4904F45"/>
    <w:rsid w:val="009A4BEE"/>
    <w:pPr>
      <w:bidi/>
      <w:spacing w:after="0" w:line="240" w:lineRule="auto"/>
    </w:pPr>
    <w:rPr>
      <w:rFonts w:ascii="Times New Roman" w:eastAsia="Times New Roman" w:hAnsi="Times New Roman" w:cs="David"/>
      <w:noProof/>
      <w:sz w:val="24"/>
      <w:szCs w:val="24"/>
    </w:rPr>
  </w:style>
  <w:style w:type="paragraph" w:customStyle="1" w:styleId="91567ABB6F614CDF8F211944D11D85575">
    <w:name w:val="91567ABB6F614CDF8F211944D11D85575"/>
    <w:rsid w:val="009A4BEE"/>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9A4BEE"/>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9A4BEE"/>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9A4BEE"/>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9A4BEE"/>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9A4BEE"/>
    <w:pPr>
      <w:bidi/>
      <w:spacing w:after="0" w:line="240" w:lineRule="auto"/>
    </w:pPr>
    <w:rPr>
      <w:rFonts w:ascii="Times New Roman" w:eastAsia="Times New Roman" w:hAnsi="Times New Roman" w:cs="David"/>
      <w:noProof/>
      <w:sz w:val="24"/>
      <w:szCs w:val="24"/>
    </w:rPr>
  </w:style>
  <w:style w:type="paragraph" w:customStyle="1" w:styleId="D290653DA13E4E738B7E725F79D7332914">
    <w:name w:val="D290653DA13E4E738B7E725F79D7332914"/>
    <w:rsid w:val="009A4BEE"/>
    <w:pPr>
      <w:bidi/>
      <w:spacing w:after="0" w:line="240" w:lineRule="auto"/>
    </w:pPr>
    <w:rPr>
      <w:rFonts w:ascii="Times New Roman" w:eastAsia="Times New Roman" w:hAnsi="Times New Roman" w:cs="David"/>
      <w:noProof/>
      <w:sz w:val="24"/>
      <w:szCs w:val="24"/>
    </w:rPr>
  </w:style>
  <w:style w:type="paragraph" w:customStyle="1" w:styleId="7D8E46D2581B4CD9ACC623ACA7D52F75">
    <w:name w:val="7D8E46D2581B4CD9ACC623ACA7D52F75"/>
    <w:rsid w:val="00CE1DCB"/>
    <w:pPr>
      <w:bidi/>
      <w:spacing w:after="0" w:line="240" w:lineRule="auto"/>
    </w:pPr>
    <w:rPr>
      <w:rFonts w:ascii="Times New Roman" w:eastAsia="Times New Roman" w:hAnsi="Times New Roman" w:cs="David"/>
      <w:noProof/>
      <w:sz w:val="24"/>
      <w:szCs w:val="24"/>
    </w:rPr>
  </w:style>
  <w:style w:type="paragraph" w:customStyle="1" w:styleId="C3B0FBA23B684176B12DDEEA2C39785F">
    <w:name w:val="C3B0FBA23B684176B12DDEEA2C39785F"/>
    <w:rsid w:val="00CE1DCB"/>
    <w:pPr>
      <w:bidi/>
      <w:spacing w:after="0" w:line="240" w:lineRule="auto"/>
    </w:pPr>
    <w:rPr>
      <w:rFonts w:ascii="Times New Roman" w:eastAsia="Times New Roman" w:hAnsi="Times New Roman" w:cs="David"/>
      <w:noProof/>
      <w:sz w:val="24"/>
      <w:szCs w:val="24"/>
    </w:rPr>
  </w:style>
  <w:style w:type="paragraph" w:customStyle="1" w:styleId="361372C4DB7441E9BE125AC684A25A0C6">
    <w:name w:val="361372C4DB7441E9BE125AC684A25A0C6"/>
    <w:rsid w:val="00CE1DCB"/>
    <w:pPr>
      <w:bidi/>
      <w:spacing w:after="0" w:line="240" w:lineRule="auto"/>
    </w:pPr>
    <w:rPr>
      <w:rFonts w:ascii="Times New Roman" w:eastAsia="Times New Roman" w:hAnsi="Times New Roman" w:cs="David"/>
      <w:noProof/>
      <w:sz w:val="24"/>
      <w:szCs w:val="24"/>
    </w:rPr>
  </w:style>
  <w:style w:type="paragraph" w:customStyle="1" w:styleId="CE26ADB1C1994B8A94D39E5A254497AA">
    <w:name w:val="CE26ADB1C1994B8A94D39E5A254497AA"/>
    <w:rsid w:val="00CE1DCB"/>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CE1DCB"/>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CE1DCB"/>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CE1DCB"/>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CE1DCB"/>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CE1DCB"/>
    <w:pPr>
      <w:bidi/>
      <w:spacing w:after="0" w:line="240" w:lineRule="auto"/>
    </w:pPr>
    <w:rPr>
      <w:rFonts w:ascii="Times New Roman" w:eastAsia="Times New Roman" w:hAnsi="Times New Roman" w:cs="David"/>
      <w:noProof/>
      <w:sz w:val="24"/>
      <w:szCs w:val="24"/>
    </w:rPr>
  </w:style>
  <w:style w:type="paragraph" w:customStyle="1" w:styleId="F5EF4663D5094D57BB3FEC6B89CF5C8E">
    <w:name w:val="F5EF4663D5094D57BB3FEC6B89CF5C8E"/>
    <w:rsid w:val="00CE1DCB"/>
    <w:pPr>
      <w:bidi/>
      <w:spacing w:after="0" w:line="240" w:lineRule="auto"/>
    </w:pPr>
    <w:rPr>
      <w:rFonts w:ascii="Times New Roman" w:eastAsia="Times New Roman" w:hAnsi="Times New Roman" w:cs="David"/>
      <w:noProof/>
      <w:sz w:val="24"/>
      <w:szCs w:val="24"/>
    </w:rPr>
  </w:style>
  <w:style w:type="paragraph" w:customStyle="1" w:styleId="D290653DA13E4E738B7E725F79D7332915">
    <w:name w:val="D290653DA13E4E738B7E725F79D7332915"/>
    <w:rsid w:val="00CE1DCB"/>
    <w:pPr>
      <w:bidi/>
      <w:spacing w:after="0" w:line="240" w:lineRule="auto"/>
    </w:pPr>
    <w:rPr>
      <w:rFonts w:ascii="Times New Roman" w:eastAsia="Times New Roman" w:hAnsi="Times New Roman" w:cs="David"/>
      <w:noProof/>
      <w:sz w:val="24"/>
      <w:szCs w:val="24"/>
    </w:rPr>
  </w:style>
  <w:style w:type="paragraph" w:customStyle="1" w:styleId="32C57370D60D49D08DBB7279C159E425">
    <w:name w:val="32C57370D60D49D08DBB7279C159E425"/>
    <w:rsid w:val="00CE1DCB"/>
    <w:pPr>
      <w:bidi/>
      <w:spacing w:after="160" w:line="259" w:lineRule="auto"/>
    </w:pPr>
  </w:style>
  <w:style w:type="paragraph" w:customStyle="1" w:styleId="7D8E46D2581B4CD9ACC623ACA7D52F751">
    <w:name w:val="7D8E46D2581B4CD9ACC623ACA7D52F751"/>
    <w:rsid w:val="00AD53D7"/>
    <w:pPr>
      <w:bidi/>
      <w:spacing w:after="0" w:line="240" w:lineRule="auto"/>
    </w:pPr>
    <w:rPr>
      <w:rFonts w:ascii="Times New Roman" w:eastAsia="Times New Roman" w:hAnsi="Times New Roman" w:cs="David"/>
      <w:noProof/>
      <w:sz w:val="24"/>
      <w:szCs w:val="24"/>
    </w:rPr>
  </w:style>
  <w:style w:type="paragraph" w:customStyle="1" w:styleId="C3B0FBA23B684176B12DDEEA2C39785F1">
    <w:name w:val="C3B0FBA23B684176B12DDEEA2C39785F1"/>
    <w:rsid w:val="00AD53D7"/>
    <w:pPr>
      <w:bidi/>
      <w:spacing w:after="0" w:line="240" w:lineRule="auto"/>
    </w:pPr>
    <w:rPr>
      <w:rFonts w:ascii="Times New Roman" w:eastAsia="Times New Roman" w:hAnsi="Times New Roman" w:cs="David"/>
      <w:noProof/>
      <w:sz w:val="24"/>
      <w:szCs w:val="24"/>
    </w:rPr>
  </w:style>
  <w:style w:type="paragraph" w:customStyle="1" w:styleId="5FE133EA4EB14C2CAB6C483B10D59812">
    <w:name w:val="5FE133EA4EB14C2CAB6C483B10D59812"/>
    <w:rsid w:val="00AD53D7"/>
    <w:pPr>
      <w:bidi/>
      <w:spacing w:after="0" w:line="240" w:lineRule="auto"/>
    </w:pPr>
    <w:rPr>
      <w:rFonts w:ascii="Times New Roman" w:eastAsia="Times New Roman" w:hAnsi="Times New Roman" w:cs="David"/>
      <w:noProof/>
      <w:sz w:val="24"/>
      <w:szCs w:val="24"/>
    </w:rPr>
  </w:style>
  <w:style w:type="paragraph" w:customStyle="1" w:styleId="32C57370D60D49D08DBB7279C159E4251">
    <w:name w:val="32C57370D60D49D08DBB7279C159E4251"/>
    <w:rsid w:val="00AD53D7"/>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AD53D7"/>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AD53D7"/>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AD53D7"/>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AD53D7"/>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AD53D7"/>
    <w:pPr>
      <w:bidi/>
      <w:spacing w:after="0" w:line="240" w:lineRule="auto"/>
    </w:pPr>
    <w:rPr>
      <w:rFonts w:ascii="Times New Roman" w:eastAsia="Times New Roman" w:hAnsi="Times New Roman" w:cs="David"/>
      <w:noProof/>
      <w:sz w:val="24"/>
      <w:szCs w:val="24"/>
    </w:rPr>
  </w:style>
  <w:style w:type="paragraph" w:customStyle="1" w:styleId="F5EF4663D5094D57BB3FEC6B89CF5C8E1">
    <w:name w:val="F5EF4663D5094D57BB3FEC6B89CF5C8E1"/>
    <w:rsid w:val="00AD53D7"/>
    <w:pPr>
      <w:bidi/>
      <w:spacing w:after="0" w:line="240" w:lineRule="auto"/>
    </w:pPr>
    <w:rPr>
      <w:rFonts w:ascii="Times New Roman" w:eastAsia="Times New Roman" w:hAnsi="Times New Roman" w:cs="David"/>
      <w:noProof/>
      <w:sz w:val="24"/>
      <w:szCs w:val="24"/>
    </w:rPr>
  </w:style>
  <w:style w:type="paragraph" w:customStyle="1" w:styleId="D290653DA13E4E738B7E725F79D7332916">
    <w:name w:val="D290653DA13E4E738B7E725F79D7332916"/>
    <w:rsid w:val="00AD53D7"/>
    <w:pPr>
      <w:bidi/>
      <w:spacing w:after="0" w:line="240" w:lineRule="auto"/>
    </w:pPr>
    <w:rPr>
      <w:rFonts w:ascii="Times New Roman" w:eastAsia="Times New Roman" w:hAnsi="Times New Roman" w:cs="David"/>
      <w:noProof/>
      <w:sz w:val="24"/>
      <w:szCs w:val="24"/>
    </w:rPr>
  </w:style>
  <w:style w:type="paragraph" w:customStyle="1" w:styleId="7D8E46D2581B4CD9ACC623ACA7D52F752">
    <w:name w:val="7D8E46D2581B4CD9ACC623ACA7D52F752"/>
    <w:rsid w:val="000177CC"/>
    <w:pPr>
      <w:bidi/>
      <w:spacing w:after="0" w:line="240" w:lineRule="auto"/>
    </w:pPr>
    <w:rPr>
      <w:rFonts w:ascii="Times New Roman" w:eastAsia="Times New Roman" w:hAnsi="Times New Roman" w:cs="David"/>
      <w:noProof/>
      <w:sz w:val="24"/>
      <w:szCs w:val="24"/>
    </w:rPr>
  </w:style>
  <w:style w:type="paragraph" w:customStyle="1" w:styleId="C3B0FBA23B684176B12DDEEA2C39785F2">
    <w:name w:val="C3B0FBA23B684176B12DDEEA2C39785F2"/>
    <w:rsid w:val="000177CC"/>
    <w:pPr>
      <w:bidi/>
      <w:spacing w:after="0" w:line="240" w:lineRule="auto"/>
    </w:pPr>
    <w:rPr>
      <w:rFonts w:ascii="Times New Roman" w:eastAsia="Times New Roman" w:hAnsi="Times New Roman" w:cs="David"/>
      <w:noProof/>
      <w:sz w:val="24"/>
      <w:szCs w:val="24"/>
    </w:rPr>
  </w:style>
  <w:style w:type="paragraph" w:customStyle="1" w:styleId="5FE133EA4EB14C2CAB6C483B10D598121">
    <w:name w:val="5FE133EA4EB14C2CAB6C483B10D598121"/>
    <w:rsid w:val="000177CC"/>
    <w:pPr>
      <w:bidi/>
      <w:spacing w:after="0" w:line="240" w:lineRule="auto"/>
    </w:pPr>
    <w:rPr>
      <w:rFonts w:ascii="Times New Roman" w:eastAsia="Times New Roman" w:hAnsi="Times New Roman" w:cs="David"/>
      <w:noProof/>
      <w:sz w:val="24"/>
      <w:szCs w:val="24"/>
    </w:rPr>
  </w:style>
  <w:style w:type="paragraph" w:customStyle="1" w:styleId="32C57370D60D49D08DBB7279C159E4252">
    <w:name w:val="32C57370D60D49D08DBB7279C159E4252"/>
    <w:rsid w:val="000177CC"/>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0177CC"/>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0177CC"/>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0177CC"/>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0177CC"/>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0177CC"/>
    <w:pPr>
      <w:bidi/>
      <w:spacing w:after="0" w:line="240" w:lineRule="auto"/>
    </w:pPr>
    <w:rPr>
      <w:rFonts w:ascii="Times New Roman" w:eastAsia="Times New Roman" w:hAnsi="Times New Roman" w:cs="David"/>
      <w:noProof/>
      <w:sz w:val="24"/>
      <w:szCs w:val="24"/>
    </w:rPr>
  </w:style>
  <w:style w:type="paragraph" w:customStyle="1" w:styleId="F5EF4663D5094D57BB3FEC6B89CF5C8E2">
    <w:name w:val="F5EF4663D5094D57BB3FEC6B89CF5C8E2"/>
    <w:rsid w:val="000177CC"/>
    <w:pPr>
      <w:bidi/>
      <w:spacing w:after="0" w:line="240" w:lineRule="auto"/>
    </w:pPr>
    <w:rPr>
      <w:rFonts w:ascii="Times New Roman" w:eastAsia="Times New Roman" w:hAnsi="Times New Roman" w:cs="David"/>
      <w:noProof/>
      <w:sz w:val="24"/>
      <w:szCs w:val="24"/>
    </w:rPr>
  </w:style>
  <w:style w:type="paragraph" w:customStyle="1" w:styleId="D290653DA13E4E738B7E725F79D7332917">
    <w:name w:val="D290653DA13E4E738B7E725F79D7332917"/>
    <w:rsid w:val="000177CC"/>
    <w:pPr>
      <w:bidi/>
      <w:spacing w:after="0" w:line="240" w:lineRule="auto"/>
    </w:pPr>
    <w:rPr>
      <w:rFonts w:ascii="Times New Roman" w:eastAsia="Times New Roman" w:hAnsi="Times New Roman" w:cs="David"/>
      <w:noProof/>
      <w:sz w:val="24"/>
      <w:szCs w:val="24"/>
    </w:rPr>
  </w:style>
  <w:style w:type="paragraph" w:customStyle="1" w:styleId="D0835A28627A476594973290286577B2">
    <w:name w:val="D0835A28627A476594973290286577B2"/>
    <w:rsid w:val="000177CC"/>
    <w:pPr>
      <w:bidi/>
      <w:spacing w:after="160" w:line="259" w:lineRule="auto"/>
    </w:pPr>
  </w:style>
  <w:style w:type="paragraph" w:customStyle="1" w:styleId="C0D9D4EB038F4D9DB24B5A2B7A8F2E7B">
    <w:name w:val="C0D9D4EB038F4D9DB24B5A2B7A8F2E7B"/>
    <w:rsid w:val="000177CC"/>
    <w:pPr>
      <w:bidi/>
      <w:spacing w:after="160" w:line="259" w:lineRule="auto"/>
    </w:pPr>
  </w:style>
  <w:style w:type="paragraph" w:customStyle="1" w:styleId="7D8E46D2581B4CD9ACC623ACA7D52F753">
    <w:name w:val="7D8E46D2581B4CD9ACC623ACA7D52F753"/>
    <w:rsid w:val="00817811"/>
    <w:pPr>
      <w:bidi/>
      <w:spacing w:after="0" w:line="240" w:lineRule="auto"/>
    </w:pPr>
    <w:rPr>
      <w:rFonts w:ascii="Times New Roman" w:eastAsia="Times New Roman" w:hAnsi="Times New Roman" w:cs="David"/>
      <w:noProof/>
      <w:sz w:val="24"/>
      <w:szCs w:val="24"/>
    </w:rPr>
  </w:style>
  <w:style w:type="paragraph" w:customStyle="1" w:styleId="C3B0FBA23B684176B12DDEEA2C39785F3">
    <w:name w:val="C3B0FBA23B684176B12DDEEA2C39785F3"/>
    <w:rsid w:val="00817811"/>
    <w:pPr>
      <w:bidi/>
      <w:spacing w:after="0" w:line="240" w:lineRule="auto"/>
    </w:pPr>
    <w:rPr>
      <w:rFonts w:ascii="Times New Roman" w:eastAsia="Times New Roman" w:hAnsi="Times New Roman" w:cs="David"/>
      <w:noProof/>
      <w:sz w:val="24"/>
      <w:szCs w:val="24"/>
    </w:rPr>
  </w:style>
  <w:style w:type="paragraph" w:customStyle="1" w:styleId="C0D9D4EB038F4D9DB24B5A2B7A8F2E7B1">
    <w:name w:val="C0D9D4EB038F4D9DB24B5A2B7A8F2E7B1"/>
    <w:rsid w:val="00817811"/>
    <w:pPr>
      <w:bidi/>
      <w:spacing w:after="0" w:line="240" w:lineRule="auto"/>
    </w:pPr>
    <w:rPr>
      <w:rFonts w:ascii="Times New Roman" w:eastAsia="Times New Roman" w:hAnsi="Times New Roman" w:cs="David"/>
      <w:noProof/>
      <w:sz w:val="24"/>
      <w:szCs w:val="24"/>
    </w:rPr>
  </w:style>
  <w:style w:type="paragraph" w:customStyle="1" w:styleId="D0835A28627A476594973290286577B21">
    <w:name w:val="D0835A28627A476594973290286577B21"/>
    <w:rsid w:val="00817811"/>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817811"/>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817811"/>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817811"/>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817811"/>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817811"/>
    <w:pPr>
      <w:bidi/>
      <w:spacing w:after="0" w:line="240" w:lineRule="auto"/>
    </w:pPr>
    <w:rPr>
      <w:rFonts w:ascii="Times New Roman" w:eastAsia="Times New Roman" w:hAnsi="Times New Roman" w:cs="David"/>
      <w:noProof/>
      <w:sz w:val="24"/>
      <w:szCs w:val="24"/>
    </w:rPr>
  </w:style>
  <w:style w:type="paragraph" w:customStyle="1" w:styleId="F5EF4663D5094D57BB3FEC6B89CF5C8E3">
    <w:name w:val="F5EF4663D5094D57BB3FEC6B89CF5C8E3"/>
    <w:rsid w:val="00817811"/>
    <w:pPr>
      <w:bidi/>
      <w:spacing w:after="0" w:line="240" w:lineRule="auto"/>
    </w:pPr>
    <w:rPr>
      <w:rFonts w:ascii="Times New Roman" w:eastAsia="Times New Roman" w:hAnsi="Times New Roman" w:cs="David"/>
      <w:noProof/>
      <w:sz w:val="24"/>
      <w:szCs w:val="24"/>
    </w:rPr>
  </w:style>
  <w:style w:type="paragraph" w:customStyle="1" w:styleId="D290653DA13E4E738B7E725F79D7332918">
    <w:name w:val="D290653DA13E4E738B7E725F79D7332918"/>
    <w:rsid w:val="00817811"/>
    <w:pPr>
      <w:bidi/>
      <w:spacing w:after="0" w:line="240" w:lineRule="auto"/>
    </w:pPr>
    <w:rPr>
      <w:rFonts w:ascii="Times New Roman" w:eastAsia="Times New Roman" w:hAnsi="Times New Roman" w:cs="David"/>
      <w:noProof/>
      <w:sz w:val="24"/>
      <w:szCs w:val="24"/>
    </w:rPr>
  </w:style>
  <w:style w:type="paragraph" w:customStyle="1" w:styleId="7D8E46D2581B4CD9ACC623ACA7D52F754">
    <w:name w:val="7D8E46D2581B4CD9ACC623ACA7D52F754"/>
    <w:rsid w:val="001D696D"/>
    <w:pPr>
      <w:bidi/>
      <w:spacing w:after="0" w:line="240" w:lineRule="auto"/>
    </w:pPr>
    <w:rPr>
      <w:rFonts w:ascii="Times New Roman" w:eastAsia="Times New Roman" w:hAnsi="Times New Roman" w:cs="David"/>
      <w:noProof/>
      <w:sz w:val="24"/>
      <w:szCs w:val="24"/>
    </w:rPr>
  </w:style>
  <w:style w:type="paragraph" w:customStyle="1" w:styleId="C3B0FBA23B684176B12DDEEA2C39785F4">
    <w:name w:val="C3B0FBA23B684176B12DDEEA2C39785F4"/>
    <w:rsid w:val="001D696D"/>
    <w:pPr>
      <w:bidi/>
      <w:spacing w:after="0" w:line="240" w:lineRule="auto"/>
    </w:pPr>
    <w:rPr>
      <w:rFonts w:ascii="Times New Roman" w:eastAsia="Times New Roman" w:hAnsi="Times New Roman" w:cs="David"/>
      <w:noProof/>
      <w:sz w:val="24"/>
      <w:szCs w:val="24"/>
    </w:rPr>
  </w:style>
  <w:style w:type="paragraph" w:customStyle="1" w:styleId="C0D9D4EB038F4D9DB24B5A2B7A8F2E7B2">
    <w:name w:val="C0D9D4EB038F4D9DB24B5A2B7A8F2E7B2"/>
    <w:rsid w:val="001D696D"/>
    <w:pPr>
      <w:bidi/>
      <w:spacing w:after="0" w:line="240" w:lineRule="auto"/>
    </w:pPr>
    <w:rPr>
      <w:rFonts w:ascii="Times New Roman" w:eastAsia="Times New Roman" w:hAnsi="Times New Roman" w:cs="David"/>
      <w:noProof/>
      <w:sz w:val="24"/>
      <w:szCs w:val="24"/>
    </w:rPr>
  </w:style>
  <w:style w:type="paragraph" w:customStyle="1" w:styleId="D0835A28627A476594973290286577B22">
    <w:name w:val="D0835A28627A476594973290286577B22"/>
    <w:rsid w:val="001D696D"/>
    <w:pPr>
      <w:bidi/>
      <w:spacing w:after="0" w:line="240" w:lineRule="auto"/>
    </w:pPr>
    <w:rPr>
      <w:rFonts w:ascii="Times New Roman" w:eastAsia="Times New Roman" w:hAnsi="Times New Roman" w:cs="David"/>
      <w:noProof/>
      <w:sz w:val="24"/>
      <w:szCs w:val="24"/>
    </w:rPr>
  </w:style>
  <w:style w:type="paragraph" w:customStyle="1" w:styleId="E6E6A917CC5E4519A8F2E864C48E22F214">
    <w:name w:val="E6E6A917CC5E4519A8F2E864C48E22F214"/>
    <w:rsid w:val="001D696D"/>
    <w:pPr>
      <w:bidi/>
      <w:spacing w:after="0" w:line="240" w:lineRule="auto"/>
    </w:pPr>
    <w:rPr>
      <w:rFonts w:ascii="Times New Roman" w:eastAsia="Times New Roman" w:hAnsi="Times New Roman" w:cs="David"/>
      <w:noProof/>
      <w:sz w:val="24"/>
      <w:szCs w:val="24"/>
    </w:rPr>
  </w:style>
  <w:style w:type="paragraph" w:customStyle="1" w:styleId="9DC4FF55E52B4E209349FC40470DD41814">
    <w:name w:val="9DC4FF55E52B4E209349FC40470DD41814"/>
    <w:rsid w:val="001D696D"/>
    <w:pPr>
      <w:bidi/>
      <w:spacing w:after="0" w:line="240" w:lineRule="auto"/>
    </w:pPr>
    <w:rPr>
      <w:rFonts w:ascii="Times New Roman" w:eastAsia="Times New Roman" w:hAnsi="Times New Roman" w:cs="David"/>
      <w:noProof/>
      <w:sz w:val="24"/>
      <w:szCs w:val="24"/>
    </w:rPr>
  </w:style>
  <w:style w:type="paragraph" w:customStyle="1" w:styleId="112E7BE5CCF64A68A3D497F283A4D69514">
    <w:name w:val="112E7BE5CCF64A68A3D497F283A4D69514"/>
    <w:rsid w:val="001D696D"/>
    <w:pPr>
      <w:bidi/>
      <w:spacing w:after="0" w:line="240" w:lineRule="auto"/>
    </w:pPr>
    <w:rPr>
      <w:rFonts w:ascii="Times New Roman" w:eastAsia="Times New Roman" w:hAnsi="Times New Roman" w:cs="David"/>
      <w:noProof/>
      <w:sz w:val="24"/>
      <w:szCs w:val="24"/>
    </w:rPr>
  </w:style>
  <w:style w:type="paragraph" w:customStyle="1" w:styleId="ECC435E5782A4F3FB39457279E24BE8812">
    <w:name w:val="ECC435E5782A4F3FB39457279E24BE8812"/>
    <w:rsid w:val="001D696D"/>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1D696D"/>
    <w:pPr>
      <w:bidi/>
      <w:spacing w:after="0" w:line="240" w:lineRule="auto"/>
    </w:pPr>
    <w:rPr>
      <w:rFonts w:ascii="Times New Roman" w:eastAsia="Times New Roman" w:hAnsi="Times New Roman" w:cs="David"/>
      <w:noProof/>
      <w:sz w:val="24"/>
      <w:szCs w:val="24"/>
    </w:rPr>
  </w:style>
  <w:style w:type="paragraph" w:customStyle="1" w:styleId="F5EF4663D5094D57BB3FEC6B89CF5C8E4">
    <w:name w:val="F5EF4663D5094D57BB3FEC6B89CF5C8E4"/>
    <w:rsid w:val="001D696D"/>
    <w:pPr>
      <w:bidi/>
      <w:spacing w:after="0" w:line="240" w:lineRule="auto"/>
    </w:pPr>
    <w:rPr>
      <w:rFonts w:ascii="Times New Roman" w:eastAsia="Times New Roman" w:hAnsi="Times New Roman" w:cs="David"/>
      <w:noProof/>
      <w:sz w:val="24"/>
      <w:szCs w:val="24"/>
    </w:rPr>
  </w:style>
  <w:style w:type="paragraph" w:customStyle="1" w:styleId="D290653DA13E4E738B7E725F79D7332919">
    <w:name w:val="D290653DA13E4E738B7E725F79D7332919"/>
    <w:rsid w:val="001D696D"/>
    <w:pPr>
      <w:bidi/>
      <w:spacing w:after="0" w:line="240" w:lineRule="auto"/>
    </w:pPr>
    <w:rPr>
      <w:rFonts w:ascii="Times New Roman" w:eastAsia="Times New Roman" w:hAnsi="Times New Roman" w:cs="David"/>
      <w:noProof/>
      <w:sz w:val="24"/>
      <w:szCs w:val="24"/>
    </w:rPr>
  </w:style>
  <w:style w:type="paragraph" w:customStyle="1" w:styleId="7D8E46D2581B4CD9ACC623ACA7D52F755">
    <w:name w:val="7D8E46D2581B4CD9ACC623ACA7D52F755"/>
    <w:rsid w:val="006377AB"/>
    <w:pPr>
      <w:bidi/>
      <w:spacing w:after="0" w:line="240" w:lineRule="auto"/>
    </w:pPr>
    <w:rPr>
      <w:rFonts w:ascii="Times New Roman" w:eastAsia="Times New Roman" w:hAnsi="Times New Roman" w:cs="David"/>
      <w:noProof/>
      <w:sz w:val="24"/>
      <w:szCs w:val="24"/>
    </w:rPr>
  </w:style>
  <w:style w:type="paragraph" w:customStyle="1" w:styleId="C3B0FBA23B684176B12DDEEA2C39785F5">
    <w:name w:val="C3B0FBA23B684176B12DDEEA2C39785F5"/>
    <w:rsid w:val="006377AB"/>
    <w:pPr>
      <w:bidi/>
      <w:spacing w:after="0" w:line="240" w:lineRule="auto"/>
    </w:pPr>
    <w:rPr>
      <w:rFonts w:ascii="Times New Roman" w:eastAsia="Times New Roman" w:hAnsi="Times New Roman" w:cs="David"/>
      <w:noProof/>
      <w:sz w:val="24"/>
      <w:szCs w:val="24"/>
    </w:rPr>
  </w:style>
  <w:style w:type="paragraph" w:customStyle="1" w:styleId="C0D9D4EB038F4D9DB24B5A2B7A8F2E7B3">
    <w:name w:val="C0D9D4EB038F4D9DB24B5A2B7A8F2E7B3"/>
    <w:rsid w:val="006377AB"/>
    <w:pPr>
      <w:bidi/>
      <w:spacing w:after="0" w:line="240" w:lineRule="auto"/>
    </w:pPr>
    <w:rPr>
      <w:rFonts w:ascii="Times New Roman" w:eastAsia="Times New Roman" w:hAnsi="Times New Roman" w:cs="David"/>
      <w:noProof/>
      <w:sz w:val="24"/>
      <w:szCs w:val="24"/>
    </w:rPr>
  </w:style>
  <w:style w:type="paragraph" w:customStyle="1" w:styleId="D0835A28627A476594973290286577B23">
    <w:name w:val="D0835A28627A476594973290286577B23"/>
    <w:rsid w:val="006377AB"/>
    <w:pPr>
      <w:bidi/>
      <w:spacing w:after="0" w:line="240" w:lineRule="auto"/>
    </w:pPr>
    <w:rPr>
      <w:rFonts w:ascii="Times New Roman" w:eastAsia="Times New Roman" w:hAnsi="Times New Roman" w:cs="David"/>
      <w:noProof/>
      <w:sz w:val="24"/>
      <w:szCs w:val="24"/>
    </w:rPr>
  </w:style>
  <w:style w:type="paragraph" w:customStyle="1" w:styleId="E6E6A917CC5E4519A8F2E864C48E22F215">
    <w:name w:val="E6E6A917CC5E4519A8F2E864C48E22F215"/>
    <w:rsid w:val="006377AB"/>
    <w:pPr>
      <w:bidi/>
      <w:spacing w:after="0" w:line="240" w:lineRule="auto"/>
    </w:pPr>
    <w:rPr>
      <w:rFonts w:ascii="Times New Roman" w:eastAsia="Times New Roman" w:hAnsi="Times New Roman" w:cs="David"/>
      <w:noProof/>
      <w:sz w:val="24"/>
      <w:szCs w:val="24"/>
    </w:rPr>
  </w:style>
  <w:style w:type="paragraph" w:customStyle="1" w:styleId="9DC4FF55E52B4E209349FC40470DD41815">
    <w:name w:val="9DC4FF55E52B4E209349FC40470DD41815"/>
    <w:rsid w:val="006377AB"/>
    <w:pPr>
      <w:bidi/>
      <w:spacing w:after="0" w:line="240" w:lineRule="auto"/>
    </w:pPr>
    <w:rPr>
      <w:rFonts w:ascii="Times New Roman" w:eastAsia="Times New Roman" w:hAnsi="Times New Roman" w:cs="David"/>
      <w:noProof/>
      <w:sz w:val="24"/>
      <w:szCs w:val="24"/>
    </w:rPr>
  </w:style>
  <w:style w:type="paragraph" w:customStyle="1" w:styleId="112E7BE5CCF64A68A3D497F283A4D69515">
    <w:name w:val="112E7BE5CCF64A68A3D497F283A4D69515"/>
    <w:rsid w:val="006377AB"/>
    <w:pPr>
      <w:bidi/>
      <w:spacing w:after="0" w:line="240" w:lineRule="auto"/>
    </w:pPr>
    <w:rPr>
      <w:rFonts w:ascii="Times New Roman" w:eastAsia="Times New Roman" w:hAnsi="Times New Roman" w:cs="David"/>
      <w:noProof/>
      <w:sz w:val="24"/>
      <w:szCs w:val="24"/>
    </w:rPr>
  </w:style>
  <w:style w:type="paragraph" w:customStyle="1" w:styleId="ECC435E5782A4F3FB39457279E24BE8813">
    <w:name w:val="ECC435E5782A4F3FB39457279E24BE8813"/>
    <w:rsid w:val="006377AB"/>
    <w:pPr>
      <w:bidi/>
      <w:spacing w:after="0" w:line="240" w:lineRule="auto"/>
    </w:pPr>
    <w:rPr>
      <w:rFonts w:ascii="Times New Roman" w:eastAsia="Times New Roman" w:hAnsi="Times New Roman" w:cs="David"/>
      <w:noProof/>
      <w:sz w:val="24"/>
      <w:szCs w:val="24"/>
    </w:rPr>
  </w:style>
  <w:style w:type="paragraph" w:customStyle="1" w:styleId="E460D38E05664FF79D4EFF282EF8EC9927">
    <w:name w:val="E460D38E05664FF79D4EFF282EF8EC9927"/>
    <w:rsid w:val="006377AB"/>
    <w:pPr>
      <w:bidi/>
      <w:spacing w:after="0" w:line="240" w:lineRule="auto"/>
    </w:pPr>
    <w:rPr>
      <w:rFonts w:ascii="Times New Roman" w:eastAsia="Times New Roman" w:hAnsi="Times New Roman" w:cs="David"/>
      <w:noProof/>
      <w:sz w:val="24"/>
      <w:szCs w:val="24"/>
    </w:rPr>
  </w:style>
  <w:style w:type="paragraph" w:customStyle="1" w:styleId="F5EF4663D5094D57BB3FEC6B89CF5C8E5">
    <w:name w:val="F5EF4663D5094D57BB3FEC6B89CF5C8E5"/>
    <w:rsid w:val="006377AB"/>
    <w:pPr>
      <w:bidi/>
      <w:spacing w:after="0" w:line="240" w:lineRule="auto"/>
    </w:pPr>
    <w:rPr>
      <w:rFonts w:ascii="Times New Roman" w:eastAsia="Times New Roman" w:hAnsi="Times New Roman" w:cs="David"/>
      <w:noProof/>
      <w:sz w:val="24"/>
      <w:szCs w:val="24"/>
    </w:rPr>
  </w:style>
  <w:style w:type="paragraph" w:customStyle="1" w:styleId="D290653DA13E4E738B7E725F79D7332920">
    <w:name w:val="D290653DA13E4E738B7E725F79D7332920"/>
    <w:rsid w:val="006377AB"/>
    <w:pPr>
      <w:bidi/>
      <w:spacing w:after="0" w:line="240" w:lineRule="auto"/>
    </w:pPr>
    <w:rPr>
      <w:rFonts w:ascii="Times New Roman" w:eastAsia="Times New Roman" w:hAnsi="Times New Roman" w:cs="David"/>
      <w:noProof/>
      <w:sz w:val="24"/>
      <w:szCs w:val="24"/>
    </w:rPr>
  </w:style>
  <w:style w:type="paragraph" w:customStyle="1" w:styleId="78B341F7CF9740D8BE0D8CF9789D3BDC">
    <w:name w:val="78B341F7CF9740D8BE0D8CF9789D3BDC"/>
    <w:rsid w:val="00382B65"/>
    <w:pPr>
      <w:bidi/>
      <w:spacing w:after="160" w:line="259" w:lineRule="auto"/>
    </w:pPr>
  </w:style>
  <w:style w:type="paragraph" w:customStyle="1" w:styleId="CCAFDFDB1296405884B3AA03C01C9FF6">
    <w:name w:val="CCAFDFDB1296405884B3AA03C01C9FF6"/>
    <w:rsid w:val="00382B65"/>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10</Pages>
  <Words>2887</Words>
  <Characters>14436</Characters>
  <Application>Microsoft Office Word</Application>
  <DocSecurity>0</DocSecurity>
  <Lines>120</Lines>
  <Paragraphs>34</Paragraphs>
  <ScaleCrop>false</ScaleCrop>
  <Company>Microsoft Corporation</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פנינה נויבירט</cp:lastModifiedBy>
  <cp:revision>147</cp:revision>
  <dcterms:created xsi:type="dcterms:W3CDTF">2012-08-06T05:16:00Z</dcterms:created>
  <dcterms:modified xsi:type="dcterms:W3CDTF">2026-08-04T13:20:00Z</dcterms:modified>
</cp:coreProperties>
</file>

<file path=docProps/custom.xml><?xml version="1.0" encoding="utf-8"?>
<op:Properties xmlns:vt="http://schemas.openxmlformats.org/officeDocument/2006/docPropsVTypes" xmlns:op="http://schemas.openxmlformats.org/officeDocument/2006/custom-properties"/>
</file>