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tblpPr w:leftFromText="180" w:rightFromText="180" w:vertAnchor="text" w:tblpY="-196"/>
        <w:bidiVisual/>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3077"/>
        <w:gridCol w:w="1902"/>
        <w:gridCol w:w="3328"/>
      </w:tblGrid>
      <w:tr w:rsidRPr="00FA4EAF" w:rsidR="00B02C76" w:rsidTr="007F09CE">
        <w:trPr>
          <w:trHeight w:val="295"/>
        </w:trPr>
        <w:tc>
          <w:tcPr>
            <w:tcW w:w="4979" w:type="dxa"/>
            <w:gridSpan w:val="2"/>
          </w:tcPr>
          <w:p w:rsidRPr="00FA4EAF" w:rsidR="00B02C76" w:rsidP="00B02C76" w:rsidRDefault="00B02C76">
            <w:pPr>
              <w:rPr>
                <w:rFonts w:ascii="Arial" w:hAnsi="Arial"/>
                <w:b/>
                <w:bCs/>
                <w:noProof w:val="0"/>
                <w:sz w:val="26"/>
                <w:szCs w:val="26"/>
                <w:rtl/>
              </w:rPr>
            </w:pPr>
            <w:bookmarkStart w:name="_GoBack" w:id="0"/>
          </w:p>
        </w:tc>
        <w:tc>
          <w:tcPr>
            <w:tcW w:w="3328" w:type="dxa"/>
          </w:tcPr>
          <w:p w:rsidRPr="00FA4EAF" w:rsidR="00B02C76" w:rsidP="00A03128" w:rsidRDefault="008924AB">
            <w:pPr>
              <w:jc w:val="right"/>
              <w:rPr>
                <w:rFonts w:ascii="Arial" w:hAnsi="Arial"/>
                <w:b/>
                <w:bCs/>
                <w:noProof w:val="0"/>
                <w:sz w:val="26"/>
                <w:szCs w:val="26"/>
                <w:rtl/>
              </w:rPr>
            </w:pPr>
            <w:r>
              <w:rPr>
                <w:rFonts w:hint="cs"/>
                <w:sz w:val="26"/>
                <w:szCs w:val="26"/>
                <w:rtl/>
              </w:rPr>
              <w:t xml:space="preserve"> </w:t>
            </w:r>
          </w:p>
        </w:tc>
      </w:tr>
      <w:tr w:rsidRPr="00FA4EAF" w:rsidR="00B02C76" w:rsidTr="007F09CE">
        <w:tc>
          <w:tcPr>
            <w:tcW w:w="8307" w:type="dxa"/>
            <w:gridSpan w:val="3"/>
          </w:tcPr>
          <w:p w:rsidR="00B02C76" w:rsidP="00B02C76" w:rsidRDefault="00B02C76">
            <w:pPr>
              <w:jc w:val="both"/>
              <w:rPr>
                <w:rFonts w:ascii="Arial" w:hAnsi="Arial"/>
                <w:b/>
                <w:bCs/>
                <w:sz w:val="26"/>
                <w:szCs w:val="26"/>
                <w:rtl/>
              </w:rPr>
            </w:pPr>
            <w:r>
              <w:rPr>
                <w:rFonts w:hint="cs" w:ascii="Arial" w:hAnsi="Arial"/>
                <w:b/>
                <w:bCs/>
                <w:sz w:val="26"/>
                <w:szCs w:val="26"/>
                <w:rtl/>
              </w:rPr>
              <w:t>ל</w:t>
            </w:r>
            <w:r>
              <w:rPr>
                <w:rFonts w:ascii="Arial" w:hAnsi="Arial"/>
                <w:b/>
                <w:bCs/>
                <w:sz w:val="26"/>
                <w:szCs w:val="26"/>
                <w:rtl/>
              </w:rPr>
              <w:t>פני</w:t>
            </w:r>
            <w:r>
              <w:rPr>
                <w:rFonts w:hint="cs" w:ascii="Arial" w:hAnsi="Arial"/>
                <w:b/>
                <w:bCs/>
                <w:sz w:val="26"/>
                <w:szCs w:val="26"/>
                <w:rtl/>
              </w:rPr>
              <w:t xml:space="preserve"> </w:t>
            </w:r>
            <w:r w:rsidRPr="00FA4EAF">
              <w:rPr>
                <w:rFonts w:hint="cs" w:ascii="Arial" w:hAnsi="Arial"/>
                <w:b/>
                <w:bCs/>
                <w:sz w:val="26"/>
                <w:szCs w:val="26"/>
                <w:rtl/>
              </w:rPr>
              <w:t>כבוד ה</w:t>
            </w:r>
            <w:sdt>
              <w:sdtPr>
                <w:rPr>
                  <w:sz w:val="26"/>
                  <w:szCs w:val="26"/>
                  <w:rtl/>
                </w:rPr>
                <w:alias w:val="1574"/>
                <w:tag w:val="1574"/>
                <w:id w:val="414602899"/>
                <w:text w:multiLine="1"/>
              </w:sdtPr>
              <w:sdtEndPr/>
              <w:sdtContent>
                <w:r>
                  <w:rPr>
                    <w:rFonts w:ascii="Arial" w:hAnsi="Arial"/>
                    <w:b/>
                    <w:bCs/>
                    <w:sz w:val="26"/>
                    <w:szCs w:val="26"/>
                    <w:rtl/>
                  </w:rPr>
                  <w:t>שופט</w:t>
                </w:r>
              </w:sdtContent>
            </w:sdt>
            <w:r w:rsidRPr="00FA4EAF">
              <w:rPr>
                <w:rFonts w:hint="cs" w:ascii="Arial" w:hAnsi="Arial"/>
                <w:b/>
                <w:bCs/>
                <w:sz w:val="26"/>
                <w:szCs w:val="26"/>
                <w:rtl/>
              </w:rPr>
              <w:t xml:space="preserve"> </w:t>
            </w:r>
            <w:sdt>
              <w:sdtPr>
                <w:rPr>
                  <w:sz w:val="26"/>
                  <w:szCs w:val="26"/>
                  <w:rtl/>
                </w:rPr>
                <w:alias w:val="1573"/>
                <w:tag w:val="1573"/>
                <w:id w:val="-1751030614"/>
                <w:text w:multiLine="1"/>
              </w:sdtPr>
              <w:sdtEndPr/>
              <w:sdtContent>
                <w:r>
                  <w:rPr>
                    <w:rFonts w:ascii="Arial" w:hAnsi="Arial"/>
                    <w:b/>
                    <w:bCs/>
                    <w:sz w:val="26"/>
                    <w:szCs w:val="26"/>
                    <w:rtl/>
                  </w:rPr>
                  <w:t>אלישי בן יצחק</w:t>
                </w:r>
              </w:sdtContent>
            </w:sdt>
          </w:p>
          <w:p w:rsidRPr="00314311" w:rsidR="008924AB" w:rsidP="00B02C76" w:rsidRDefault="008924AB">
            <w:pPr>
              <w:jc w:val="both"/>
              <w:rPr>
                <w:rFonts w:ascii="Arial" w:hAnsi="Arial"/>
                <w:b/>
                <w:bCs/>
                <w:sz w:val="26"/>
                <w:szCs w:val="26"/>
              </w:rPr>
            </w:pPr>
          </w:p>
        </w:tc>
      </w:tr>
      <w:tr w:rsidRPr="00FA4EAF" w:rsidR="00B02C76" w:rsidTr="007F09CE">
        <w:tc>
          <w:tcPr>
            <w:tcW w:w="3077" w:type="dxa"/>
          </w:tcPr>
          <w:p w:rsidRPr="00FA4EAF" w:rsidR="00B02C76" w:rsidP="00B02C76" w:rsidRDefault="00B02C76">
            <w:pPr>
              <w:rPr>
                <w:rFonts w:ascii="Arial" w:hAnsi="Arial"/>
                <w:b/>
                <w:bCs/>
                <w:noProof w:val="0"/>
                <w:sz w:val="26"/>
                <w:szCs w:val="26"/>
                <w:rtl/>
              </w:rPr>
            </w:pPr>
            <w:r w:rsidRPr="002D2705">
              <w:rPr>
                <w:rFonts w:hint="cs"/>
                <w:b/>
                <w:bCs/>
                <w:sz w:val="26"/>
                <w:szCs w:val="26"/>
                <w:rtl/>
              </w:rPr>
              <w:t>ה</w:t>
            </w:r>
            <w:sdt>
              <w:sdtPr>
                <w:rPr>
                  <w:sz w:val="26"/>
                  <w:szCs w:val="26"/>
                  <w:rtl/>
                </w:rPr>
                <w:alias w:val="1180"/>
                <w:tag w:val="1180"/>
                <w:id w:val="637458750"/>
                <w:text w:multiLine="1"/>
              </w:sdtPr>
              <w:sdtEndPr/>
              <w:sdtContent>
                <w:r>
                  <w:rPr>
                    <w:rFonts w:ascii="Arial" w:hAnsi="Arial"/>
                    <w:b/>
                    <w:bCs/>
                    <w:noProof w:val="0"/>
                    <w:sz w:val="26"/>
                    <w:szCs w:val="26"/>
                    <w:rtl/>
                  </w:rPr>
                  <w:t>תובעים</w:t>
                </w:r>
              </w:sdtContent>
            </w:sdt>
            <w:r>
              <w:rPr>
                <w:rFonts w:hint="cs" w:ascii="Arial" w:hAnsi="Arial"/>
                <w:b/>
                <w:bCs/>
                <w:noProof w:val="0"/>
                <w:sz w:val="26"/>
                <w:szCs w:val="26"/>
                <w:rtl/>
              </w:rPr>
              <w:t>:</w:t>
            </w:r>
          </w:p>
        </w:tc>
        <w:tc>
          <w:tcPr>
            <w:tcW w:w="5230" w:type="dxa"/>
            <w:gridSpan w:val="2"/>
          </w:tcPr>
          <w:p w:rsidRPr="007F09CE" w:rsidR="00B02C76" w:rsidP="007F09CE" w:rsidRDefault="00E543B0">
            <w:pPr>
              <w:suppressLineNumbers/>
            </w:pPr>
            <w:sdt>
              <w:sdtPr>
                <w:rPr>
                  <w:rFonts w:ascii="Arial" w:hAnsi="Arial"/>
                  <w:b/>
                  <w:bCs/>
                  <w:noProof w:val="0"/>
                  <w:sz w:val="26"/>
                  <w:szCs w:val="26"/>
                  <w:rtl/>
                </w:rPr>
                <w:alias w:val="3151"/>
                <w:tag w:val="3151"/>
                <w:id w:val="1166218717"/>
                <w:placeholder>
                  <w:docPart w:val="6E9B64DE82404F9B827427D9CBC581D6"/>
                </w:placeholder>
                <w:text w:multiLine="1"/>
              </w:sdtPr>
              <w:sdtEndPr/>
              <w:sdtContent>
                <w:r w:rsidR="0016615E">
                  <w:rPr>
                    <w:rFonts w:ascii="Arial" w:hAnsi="Arial"/>
                    <w:b/>
                    <w:bCs/>
                    <w:noProof w:val="0"/>
                    <w:sz w:val="26"/>
                    <w:szCs w:val="26"/>
                    <w:rtl/>
                  </w:rPr>
                  <w:t>רחל קוטאי</w:t>
                </w:r>
              </w:sdtContent>
            </w:sdt>
          </w:p>
        </w:tc>
      </w:tr>
      <w:tr w:rsidRPr="00FA4EAF" w:rsidR="00B02C76" w:rsidTr="007F09CE">
        <w:trPr>
          <w:trHeight w:val="601"/>
        </w:trPr>
        <w:tc>
          <w:tcPr>
            <w:tcW w:w="8307" w:type="dxa"/>
            <w:gridSpan w:val="3"/>
          </w:tcPr>
          <w:p w:rsidRPr="00FA4EAF" w:rsidR="00B02C76" w:rsidP="00B02C76" w:rsidRDefault="00B02C76">
            <w:pPr>
              <w:rPr>
                <w:rFonts w:ascii="Arial" w:hAnsi="Arial"/>
                <w:b/>
                <w:bCs/>
                <w:noProof w:val="0"/>
                <w:sz w:val="26"/>
                <w:szCs w:val="26"/>
                <w:rtl/>
              </w:rPr>
            </w:pPr>
          </w:p>
          <w:p w:rsidRPr="00FA4EAF" w:rsidR="00B02C76" w:rsidP="00B02C76" w:rsidRDefault="00B02C76">
            <w:pPr>
              <w:jc w:val="center"/>
              <w:rPr>
                <w:rFonts w:ascii="Arial" w:hAnsi="Arial"/>
                <w:b/>
                <w:bCs/>
                <w:noProof w:val="0"/>
                <w:sz w:val="26"/>
                <w:szCs w:val="26"/>
                <w:rtl/>
              </w:rPr>
            </w:pPr>
            <w:r w:rsidRPr="00FA4EAF">
              <w:rPr>
                <w:rFonts w:ascii="Arial" w:hAnsi="Arial"/>
                <w:b/>
                <w:bCs/>
                <w:noProof w:val="0"/>
                <w:sz w:val="26"/>
                <w:szCs w:val="26"/>
                <w:rtl/>
              </w:rPr>
              <w:t>נגד</w:t>
            </w:r>
          </w:p>
          <w:p w:rsidRPr="00AA5158" w:rsidR="00B02C76" w:rsidP="00B02C76" w:rsidRDefault="00B02C76">
            <w:pPr>
              <w:rPr>
                <w:rFonts w:ascii="Arial" w:hAnsi="Arial"/>
                <w:b/>
                <w:bCs/>
                <w:noProof w:val="0"/>
                <w:sz w:val="16"/>
                <w:szCs w:val="16"/>
              </w:rPr>
            </w:pPr>
          </w:p>
        </w:tc>
      </w:tr>
      <w:tr w:rsidRPr="00FA4EAF" w:rsidR="00B02C76" w:rsidTr="007F09CE">
        <w:tc>
          <w:tcPr>
            <w:tcW w:w="3077" w:type="dxa"/>
          </w:tcPr>
          <w:p w:rsidRPr="00FA4EAF" w:rsidR="00B02C76" w:rsidP="00B02C76" w:rsidRDefault="00B02C76">
            <w:pPr>
              <w:rPr>
                <w:rFonts w:ascii="Arial" w:hAnsi="Arial"/>
                <w:b/>
                <w:bCs/>
                <w:noProof w:val="0"/>
                <w:sz w:val="26"/>
                <w:szCs w:val="26"/>
              </w:rPr>
            </w:pPr>
            <w:r w:rsidRPr="002D2705">
              <w:rPr>
                <w:rFonts w:hint="cs"/>
                <w:b/>
                <w:bCs/>
                <w:sz w:val="26"/>
                <w:szCs w:val="26"/>
                <w:rtl/>
              </w:rPr>
              <w:t>ה</w:t>
            </w:r>
            <w:sdt>
              <w:sdtPr>
                <w:rPr>
                  <w:sz w:val="26"/>
                  <w:szCs w:val="26"/>
                  <w:rtl/>
                </w:rPr>
                <w:alias w:val="1184"/>
                <w:tag w:val="1184"/>
                <w:id w:val="-340621022"/>
                <w:text w:multiLine="1"/>
              </w:sdtPr>
              <w:sdtEndPr/>
              <w:sdtContent>
                <w:r>
                  <w:rPr>
                    <w:rFonts w:ascii="Arial" w:hAnsi="Arial"/>
                    <w:b/>
                    <w:bCs/>
                    <w:noProof w:val="0"/>
                    <w:sz w:val="26"/>
                    <w:szCs w:val="26"/>
                    <w:rtl/>
                  </w:rPr>
                  <w:t>נתבעים</w:t>
                </w:r>
              </w:sdtContent>
            </w:sdt>
            <w:r>
              <w:rPr>
                <w:rFonts w:hint="cs" w:ascii="Arial" w:hAnsi="Arial"/>
                <w:b/>
                <w:bCs/>
                <w:noProof w:val="0"/>
                <w:sz w:val="26"/>
                <w:szCs w:val="26"/>
                <w:rtl/>
              </w:rPr>
              <w:t>:</w:t>
            </w:r>
          </w:p>
        </w:tc>
        <w:tc>
          <w:tcPr>
            <w:tcW w:w="5230" w:type="dxa"/>
            <w:gridSpan w:val="2"/>
          </w:tcPr>
          <w:p w:rsidR="007F09CE" w:rsidP="007F09CE" w:rsidRDefault="00E543B0">
            <w:pPr>
              <w:suppressLineNumbers/>
            </w:pPr>
            <w:sdt>
              <w:sdtPr>
                <w:rPr>
                  <w:rFonts w:ascii="Arial" w:hAnsi="Arial"/>
                  <w:b/>
                  <w:bCs/>
                  <w:noProof w:val="0"/>
                  <w:sz w:val="26"/>
                  <w:szCs w:val="26"/>
                  <w:rtl/>
                </w:rPr>
                <w:alias w:val="3152"/>
                <w:tag w:val="3152"/>
                <w:id w:val="-1346628691"/>
                <w:placeholder>
                  <w:docPart w:val="4975FDB7C9824906A8EDDDC584D8F333"/>
                </w:placeholder>
                <w:text w:multiLine="1"/>
              </w:sdtPr>
              <w:sdtEndPr/>
              <w:sdtContent>
                <w:r w:rsidR="0016615E">
                  <w:rPr>
                    <w:rFonts w:ascii="Arial" w:hAnsi="Arial"/>
                    <w:b/>
                    <w:bCs/>
                    <w:noProof w:val="0"/>
                    <w:sz w:val="26"/>
                    <w:szCs w:val="26"/>
                    <w:rtl/>
                  </w:rPr>
                  <w:t>משה אהרוני</w:t>
                </w:r>
              </w:sdtContent>
            </w:sdt>
          </w:p>
          <w:p w:rsidRPr="007F09CE" w:rsidR="00B02C76" w:rsidP="007F09CE" w:rsidRDefault="00B02C76">
            <w:pPr>
              <w:rPr>
                <w:sz w:val="26"/>
                <w:szCs w:val="26"/>
                <w:rtl/>
              </w:rPr>
            </w:pPr>
          </w:p>
        </w:tc>
      </w:tr>
      <w:tr w:rsidRPr="00FA4EAF" w:rsidR="00B02C76" w:rsidTr="007F09CE">
        <w:tc>
          <w:tcPr>
            <w:tcW w:w="8307" w:type="dxa"/>
            <w:gridSpan w:val="3"/>
          </w:tcPr>
          <w:p w:rsidR="007F09CE" w:rsidP="007F09CE" w:rsidRDefault="007F09CE">
            <w:pPr>
              <w:rPr>
                <w:rFonts w:cs="Times New Roman"/>
              </w:rPr>
            </w:pPr>
            <w:r>
              <w:rPr>
                <w:rFonts w:cs="Times New Roman"/>
                <w:rtl/>
              </w:rPr>
              <w:t xml:space="preserve"> </w:t>
            </w:r>
          </w:p>
          <w:p w:rsidR="001A2D36" w:rsidRDefault="001A2D36">
            <w:pPr>
              <w:suppressLineNumbers/>
            </w:pPr>
          </w:p>
          <w:p w:rsidRPr="007F09CE" w:rsidR="00B02C76" w:rsidP="00B02C76" w:rsidRDefault="00B02C76">
            <w:pPr>
              <w:rPr>
                <w:rFonts w:ascii="Arial" w:hAnsi="Arial"/>
                <w:b/>
                <w:bCs/>
                <w:noProof w:val="0"/>
                <w:sz w:val="26"/>
                <w:szCs w:val="26"/>
                <w:rtl/>
              </w:rPr>
            </w:pPr>
          </w:p>
        </w:tc>
      </w:tr>
    </w:tbl>
    <w:p w:rsidRPr="004C7358" w:rsidR="00E31C2B" w:rsidP="004D1998" w:rsidRDefault="007F09CE">
      <w:pPr>
        <w:rPr>
          <w:sz w:val="12"/>
          <w:szCs w:val="12"/>
        </w:rPr>
      </w:pPr>
      <w:r>
        <w:rPr>
          <w:rFonts w:hint="eastAsia"/>
          <w:sz w:val="26"/>
          <w:szCs w:val="26"/>
          <w:rtl/>
        </w:rPr>
        <w:t xml:space="preserve"> </w:t>
      </w:r>
    </w:p>
    <w:tbl>
      <w:tblPr>
        <w:tblStyle w:val="a9"/>
        <w:bidiVisual/>
        <w:tblW w:w="88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8820"/>
      </w:tblGrid>
      <w:tr w:rsidR="00694556">
        <w:trPr>
          <w:jc w:val="center"/>
        </w:trPr>
        <w:tc>
          <w:tcPr>
            <w:tcW w:w="8820" w:type="dxa"/>
          </w:tcPr>
          <w:p w:rsidR="00694556" w:rsidRDefault="0016615E">
            <w:pPr>
              <w:bidi w:val="0"/>
              <w:jc w:val="center"/>
              <w:rPr>
                <w:rFonts w:ascii="Arial" w:hAnsi="Arial"/>
                <w:b/>
                <w:bCs/>
                <w:noProof w:val="0"/>
                <w:sz w:val="28"/>
                <w:szCs w:val="28"/>
                <w:u w:val="single"/>
              </w:rPr>
            </w:pPr>
            <w:r w:rsidRPr="00E543B0">
              <w:rPr>
                <w:rFonts w:hint="cs" w:ascii="Arial" w:hAnsi="Arial"/>
                <w:b/>
                <w:bCs/>
                <w:noProof w:val="0"/>
                <w:sz w:val="40"/>
                <w:szCs w:val="40"/>
                <w:u w:val="single"/>
                <w:rtl/>
              </w:rPr>
              <w:t>פסק דין</w:t>
            </w:r>
          </w:p>
        </w:tc>
      </w:tr>
    </w:tbl>
    <w:p w:rsidR="00694556" w:rsidRDefault="00694556">
      <w:pPr>
        <w:spacing w:line="360" w:lineRule="auto"/>
        <w:jc w:val="both"/>
        <w:rPr>
          <w:rFonts w:ascii="Arial" w:hAnsi="Arial"/>
          <w:noProof w:val="0"/>
          <w:rtl/>
        </w:rPr>
      </w:pPr>
    </w:p>
    <w:p w:rsidR="00E543B0" w:rsidP="00E543B0" w:rsidRDefault="00E543B0">
      <w:pPr>
        <w:spacing w:line="360" w:lineRule="auto"/>
        <w:jc w:val="both"/>
        <w:rPr>
          <w:rFonts w:ascii="David" w:hAnsi="David"/>
          <w:rtl/>
        </w:rPr>
      </w:pPr>
      <w:bookmarkStart w:name="NGCSBookmark" w:id="1"/>
      <w:bookmarkEnd w:id="1"/>
      <w:r>
        <w:rPr>
          <w:rFonts w:ascii="David" w:hAnsi="David"/>
          <w:rtl/>
        </w:rPr>
        <w:t>הכל תלוי במזל אפילו השכנים שאדם דר בשכנותם. עניינה של תביעה זו בדברים שנאמרו במסגרת הליך שיפוטי שהתנהל בפני המפקחת על רישום המקרקעין והועלו בפרוטוקול הדיון עולים כדי לשון הרע? האם הם מזכים בפיצוי כפי שטוענת התובעת. או שמא הדברים חוסים תחת ההגנה הקבועה בסע' 13(5)</w:t>
      </w:r>
      <w:r>
        <w:rPr>
          <w:rFonts w:ascii="David" w:hAnsi="David"/>
        </w:rPr>
        <w:t xml:space="preserve"> </w:t>
      </w:r>
      <w:r>
        <w:rPr>
          <w:rFonts w:ascii="David" w:hAnsi="David"/>
          <w:rtl/>
        </w:rPr>
        <w:t xml:space="preserve">לחוק איסור לשון הרע, תשכ"ה-1965 [להלן: </w:t>
      </w:r>
      <w:r>
        <w:rPr>
          <w:rFonts w:ascii="David" w:hAnsi="David"/>
          <w:b/>
          <w:bCs/>
          <w:rtl/>
        </w:rPr>
        <w:t>"חוק איסור לשון הרע"</w:t>
      </w:r>
      <w:r>
        <w:rPr>
          <w:rFonts w:ascii="David" w:hAnsi="David"/>
          <w:rtl/>
        </w:rPr>
        <w:t>] ואז גם אם הדברים שהובאו בפרוטוקול הדיון עולים כדי לשון הרע אלו אינם מזכים בכל פיצוי לנוכח החסינות לה טוען הנתבע.</w:t>
      </w:r>
    </w:p>
    <w:p w:rsidR="00E543B0" w:rsidP="00E543B0" w:rsidRDefault="00E543B0">
      <w:pPr>
        <w:rPr>
          <w:rFonts w:ascii="David" w:hAnsi="David"/>
          <w:rtl/>
        </w:rPr>
      </w:pPr>
    </w:p>
    <w:p w:rsidR="00E543B0" w:rsidP="00E543B0" w:rsidRDefault="00E543B0">
      <w:pPr>
        <w:rPr>
          <w:rFonts w:ascii="David" w:hAnsi="David"/>
          <w:rtl/>
        </w:rPr>
      </w:pPr>
    </w:p>
    <w:p w:rsidR="00E543B0" w:rsidP="00E543B0" w:rsidRDefault="00E543B0">
      <w:pPr>
        <w:rPr>
          <w:rFonts w:ascii="Miriam" w:hAnsi="Miriam" w:cs="Miriam"/>
          <w:u w:val="single"/>
          <w:rtl/>
        </w:rPr>
      </w:pPr>
      <w:r>
        <w:rPr>
          <w:rFonts w:ascii="Miriam" w:hAnsi="Miriam" w:cs="Miriam"/>
          <w:u w:val="single"/>
          <w:rtl/>
        </w:rPr>
        <w:t>''המעשה'' - העובדות בקצירת האומר</w:t>
      </w:r>
    </w:p>
    <w:p w:rsidR="00E543B0" w:rsidP="00E543B0" w:rsidRDefault="00E543B0">
      <w:pPr>
        <w:pStyle w:val="ad"/>
        <w:numPr>
          <w:ilvl w:val="0"/>
          <w:numId w:val="1"/>
        </w:numPr>
        <w:spacing w:after="0" w:line="360" w:lineRule="auto"/>
        <w:ind w:left="714" w:hanging="357"/>
        <w:jc w:val="both"/>
        <w:rPr>
          <w:rFonts w:ascii="David" w:hAnsi="David" w:cs="David"/>
          <w:sz w:val="24"/>
          <w:szCs w:val="24"/>
          <w:rtl/>
        </w:rPr>
      </w:pPr>
      <w:r>
        <w:rPr>
          <w:rFonts w:ascii="David" w:hAnsi="David" w:cs="David"/>
          <w:sz w:val="24"/>
          <w:szCs w:val="24"/>
          <w:rtl/>
        </w:rPr>
        <w:t xml:space="preserve">התובעת והנתבע הינם בעלי זכיות בבית משותף הרח' הרואה 192א רמת גן [להלן: </w:t>
      </w:r>
      <w:r>
        <w:rPr>
          <w:rFonts w:ascii="David" w:hAnsi="David" w:cs="David"/>
          <w:b/>
          <w:bCs/>
          <w:sz w:val="24"/>
          <w:szCs w:val="24"/>
          <w:rtl/>
        </w:rPr>
        <w:t>"הבית המשותף"</w:t>
      </w:r>
      <w:r>
        <w:rPr>
          <w:rFonts w:ascii="David" w:hAnsi="David" w:cs="David"/>
          <w:sz w:val="24"/>
          <w:szCs w:val="24"/>
          <w:rtl/>
        </w:rPr>
        <w:t xml:space="preserve">]. איש איש וזכויותיו שלו איש איש ותת חלקתו שלו הוא. </w:t>
      </w:r>
    </w:p>
    <w:p w:rsidR="00E543B0" w:rsidP="00E543B0" w:rsidRDefault="00E543B0">
      <w:pPr>
        <w:pStyle w:val="ad"/>
        <w:spacing w:after="0" w:line="360" w:lineRule="auto"/>
        <w:jc w:val="both"/>
        <w:rPr>
          <w:rFonts w:ascii="David" w:hAnsi="David" w:cs="David"/>
          <w:sz w:val="24"/>
          <w:szCs w:val="24"/>
        </w:rPr>
      </w:pPr>
    </w:p>
    <w:p w:rsidR="00E543B0" w:rsidP="00E543B0" w:rsidRDefault="00E543B0">
      <w:pPr>
        <w:pStyle w:val="ad"/>
        <w:numPr>
          <w:ilvl w:val="0"/>
          <w:numId w:val="1"/>
        </w:numPr>
        <w:spacing w:after="0" w:line="360" w:lineRule="auto"/>
        <w:jc w:val="both"/>
        <w:rPr>
          <w:rFonts w:ascii="David" w:hAnsi="David" w:cs="David"/>
          <w:sz w:val="24"/>
          <w:szCs w:val="24"/>
        </w:rPr>
      </w:pPr>
      <w:r>
        <w:rPr>
          <w:rFonts w:ascii="David" w:hAnsi="David" w:cs="David"/>
          <w:sz w:val="24"/>
          <w:szCs w:val="24"/>
          <w:rtl/>
        </w:rPr>
        <w:t xml:space="preserve">התובעת שימשה כוועד הבית בבית המשותף בין השנים 2016-2019. </w:t>
      </w:r>
    </w:p>
    <w:p w:rsidR="00E543B0" w:rsidP="00E543B0" w:rsidRDefault="00E543B0">
      <w:pPr>
        <w:pStyle w:val="ad"/>
        <w:spacing w:after="0" w:line="360" w:lineRule="auto"/>
        <w:jc w:val="both"/>
        <w:rPr>
          <w:rFonts w:ascii="David" w:hAnsi="David" w:cs="David"/>
          <w:sz w:val="24"/>
          <w:szCs w:val="24"/>
        </w:rPr>
      </w:pPr>
    </w:p>
    <w:p w:rsidR="00E543B0" w:rsidP="00E543B0" w:rsidRDefault="00E543B0">
      <w:pPr>
        <w:pStyle w:val="ad"/>
        <w:numPr>
          <w:ilvl w:val="0"/>
          <w:numId w:val="1"/>
        </w:numPr>
        <w:spacing w:after="0" w:line="360" w:lineRule="auto"/>
        <w:jc w:val="both"/>
        <w:rPr>
          <w:rFonts w:ascii="David" w:hAnsi="David" w:cs="David"/>
          <w:sz w:val="24"/>
          <w:szCs w:val="24"/>
          <w:rtl/>
        </w:rPr>
      </w:pPr>
      <w:r>
        <w:rPr>
          <w:rFonts w:ascii="David" w:hAnsi="David" w:cs="David"/>
          <w:sz w:val="24"/>
          <w:szCs w:val="24"/>
          <w:rtl/>
        </w:rPr>
        <w:t xml:space="preserve">במהל שנת 2019 נקטה התובעת כאדם פרטי וכנציגות הבית המשותף יחד עם עוד 3 אחרים  המשותף הליך משפטי שנפתח בפני המפקח על רישום המקרקעין ואשר נוהל בפני כבוד המפקחת על רישום המקרקעין הגב' אביטל שרייבר [להלן: </w:t>
      </w:r>
      <w:r>
        <w:rPr>
          <w:rFonts w:ascii="David" w:hAnsi="David" w:cs="David"/>
          <w:b/>
          <w:bCs/>
          <w:sz w:val="24"/>
          <w:szCs w:val="24"/>
          <w:rtl/>
        </w:rPr>
        <w:t>ההליך המשפטי בפני המפקחת"</w:t>
      </w:r>
      <w:r>
        <w:rPr>
          <w:rFonts w:ascii="David" w:hAnsi="David" w:cs="David"/>
          <w:sz w:val="24"/>
          <w:szCs w:val="24"/>
          <w:rtl/>
        </w:rPr>
        <w:t xml:space="preserve">].  </w:t>
      </w:r>
    </w:p>
    <w:p w:rsidR="00E543B0" w:rsidP="00E543B0" w:rsidRDefault="00E543B0">
      <w:pPr>
        <w:pStyle w:val="ad"/>
        <w:rPr>
          <w:rFonts w:ascii="David" w:hAnsi="David" w:cs="David"/>
          <w:sz w:val="24"/>
          <w:szCs w:val="24"/>
        </w:rPr>
      </w:pPr>
    </w:p>
    <w:p w:rsidR="00E543B0" w:rsidP="00E543B0" w:rsidRDefault="00E543B0">
      <w:pPr>
        <w:pStyle w:val="ad"/>
        <w:numPr>
          <w:ilvl w:val="0"/>
          <w:numId w:val="1"/>
        </w:numPr>
        <w:spacing w:after="0" w:line="360" w:lineRule="auto"/>
        <w:jc w:val="both"/>
        <w:rPr>
          <w:rFonts w:ascii="David" w:hAnsi="David" w:cs="David"/>
          <w:sz w:val="24"/>
          <w:szCs w:val="24"/>
          <w:rtl/>
        </w:rPr>
      </w:pPr>
      <w:r>
        <w:rPr>
          <w:rFonts w:ascii="David" w:hAnsi="David" w:cs="David"/>
          <w:sz w:val="24"/>
          <w:szCs w:val="24"/>
          <w:rtl/>
        </w:rPr>
        <w:t xml:space="preserve">בין הנתבעים בהליך המשפטי בפני המפקחת לא נמנה הנתבע בתיק דנן. אולם כן נתבע אחיו של הנתבע בתיק דנן. </w:t>
      </w:r>
    </w:p>
    <w:p w:rsidR="00E543B0" w:rsidP="00E543B0" w:rsidRDefault="00E543B0">
      <w:pPr>
        <w:pStyle w:val="ad"/>
        <w:spacing w:line="360" w:lineRule="auto"/>
        <w:jc w:val="both"/>
        <w:rPr>
          <w:rFonts w:ascii="David" w:hAnsi="David" w:cs="David"/>
          <w:sz w:val="24"/>
          <w:szCs w:val="24"/>
        </w:rPr>
      </w:pPr>
    </w:p>
    <w:p w:rsidR="00E543B0" w:rsidP="00E543B0" w:rsidRDefault="00E543B0">
      <w:pPr>
        <w:pStyle w:val="ad"/>
        <w:numPr>
          <w:ilvl w:val="0"/>
          <w:numId w:val="1"/>
        </w:numPr>
        <w:spacing w:after="0" w:line="360" w:lineRule="auto"/>
        <w:jc w:val="both"/>
        <w:rPr>
          <w:rFonts w:ascii="David" w:hAnsi="David" w:cs="David"/>
          <w:sz w:val="24"/>
          <w:szCs w:val="24"/>
          <w:rtl/>
        </w:rPr>
      </w:pPr>
      <w:r>
        <w:rPr>
          <w:rFonts w:ascii="David" w:hAnsi="David" w:cs="David"/>
          <w:sz w:val="24"/>
          <w:szCs w:val="24"/>
          <w:rtl/>
        </w:rPr>
        <w:t xml:space="preserve">בדיון שהתקיים בפני המפקח על רישום מקרקעין ביום 25.12.2019 נכח באולם גם הנתבע. </w:t>
      </w:r>
    </w:p>
    <w:p w:rsidR="00E543B0" w:rsidP="00E543B0" w:rsidRDefault="00E543B0">
      <w:pPr>
        <w:pStyle w:val="ad"/>
        <w:spacing w:line="360" w:lineRule="auto"/>
        <w:jc w:val="both"/>
        <w:rPr>
          <w:rFonts w:ascii="David" w:hAnsi="David" w:cs="David"/>
          <w:sz w:val="24"/>
          <w:szCs w:val="24"/>
        </w:rPr>
      </w:pPr>
    </w:p>
    <w:p w:rsidR="00E543B0" w:rsidP="00E543B0" w:rsidRDefault="00E543B0">
      <w:pPr>
        <w:pStyle w:val="ad"/>
        <w:numPr>
          <w:ilvl w:val="0"/>
          <w:numId w:val="1"/>
        </w:numPr>
        <w:spacing w:line="360" w:lineRule="auto"/>
        <w:jc w:val="both"/>
        <w:rPr>
          <w:rFonts w:ascii="David" w:hAnsi="David" w:cs="David"/>
          <w:sz w:val="24"/>
          <w:szCs w:val="24"/>
          <w:rtl/>
        </w:rPr>
      </w:pPr>
      <w:r>
        <w:rPr>
          <w:rFonts w:ascii="David" w:hAnsi="David" w:cs="David"/>
          <w:sz w:val="24"/>
          <w:szCs w:val="24"/>
          <w:rtl/>
        </w:rPr>
        <w:t xml:space="preserve">לטענת הנתבע הוא נכח בדיון כדי להעיד בפני המפקחת על התנהלותה שלש התובעת בתפקידה כיו"ר הוועד. </w:t>
      </w:r>
    </w:p>
    <w:p w:rsidR="00E543B0" w:rsidP="00E543B0" w:rsidRDefault="00E543B0">
      <w:pPr>
        <w:pStyle w:val="ad"/>
        <w:rPr>
          <w:rFonts w:ascii="David" w:hAnsi="David" w:cs="David"/>
          <w:sz w:val="24"/>
          <w:szCs w:val="24"/>
        </w:rPr>
      </w:pPr>
    </w:p>
    <w:p w:rsidR="00E543B0" w:rsidP="00E543B0" w:rsidRDefault="00E543B0">
      <w:pPr>
        <w:pStyle w:val="ad"/>
        <w:numPr>
          <w:ilvl w:val="0"/>
          <w:numId w:val="1"/>
        </w:numPr>
        <w:spacing w:line="360" w:lineRule="auto"/>
        <w:jc w:val="both"/>
        <w:rPr>
          <w:rFonts w:ascii="David" w:hAnsi="David" w:cs="David"/>
          <w:sz w:val="24"/>
          <w:szCs w:val="24"/>
          <w:rtl/>
        </w:rPr>
      </w:pPr>
      <w:r>
        <w:rPr>
          <w:rFonts w:ascii="David" w:hAnsi="David" w:cs="David"/>
          <w:sz w:val="24"/>
          <w:szCs w:val="24"/>
          <w:rtl/>
        </w:rPr>
        <w:t xml:space="preserve">אין מחלוקת, והנתבע אינו מכחיש זאת, כי במהלך הדיון הנתבע אמר את המשפט שנכתב בפרוטוקול הדיון. וזהו תורף המשפט הרלוונטי לתביעה דנן: </w:t>
      </w:r>
      <w:r>
        <w:rPr>
          <w:rFonts w:ascii="Miriam" w:hAnsi="Miriam" w:cs="Miriam"/>
          <w:sz w:val="24"/>
          <w:szCs w:val="24"/>
          <w:rtl/>
        </w:rPr>
        <w:t>"גב' קוטאי והיא חתכה במזיד את החשמל במדרגות, במשך 10 חודשים לא היה חשמל מדרגות בבניין"</w:t>
      </w:r>
      <w:r>
        <w:rPr>
          <w:rFonts w:ascii="David" w:hAnsi="David" w:cs="David"/>
          <w:sz w:val="24"/>
          <w:szCs w:val="24"/>
          <w:rtl/>
        </w:rPr>
        <w:t>.</w:t>
      </w:r>
    </w:p>
    <w:p w:rsidR="00E543B0" w:rsidP="00E543B0" w:rsidRDefault="00E543B0">
      <w:pPr>
        <w:pStyle w:val="ad"/>
        <w:rPr>
          <w:rFonts w:ascii="David" w:hAnsi="David" w:cs="David"/>
          <w:sz w:val="24"/>
          <w:szCs w:val="24"/>
        </w:rPr>
      </w:pPr>
    </w:p>
    <w:p w:rsidR="00E543B0" w:rsidP="00E543B0" w:rsidRDefault="00E543B0">
      <w:pPr>
        <w:pStyle w:val="ad"/>
        <w:numPr>
          <w:ilvl w:val="0"/>
          <w:numId w:val="1"/>
        </w:numPr>
        <w:spacing w:line="360" w:lineRule="auto"/>
        <w:jc w:val="both"/>
        <w:rPr>
          <w:rFonts w:ascii="David" w:hAnsi="David" w:cs="David"/>
          <w:sz w:val="24"/>
          <w:szCs w:val="24"/>
          <w:rtl/>
        </w:rPr>
      </w:pPr>
      <w:r>
        <w:rPr>
          <w:rFonts w:ascii="David" w:hAnsi="David" w:cs="David"/>
          <w:sz w:val="24"/>
          <w:szCs w:val="24"/>
          <w:rtl/>
        </w:rPr>
        <w:t xml:space="preserve">לטענת התובעת דבריו של הנתבע עולים כדי לשון הרע מהטעם, וכך טוענת התובעת, שהאדם הסביר יבין כי התובעת, הינה עבריינית המסכנת את הציבור לחילופין חולת נפש המסכנת את עצמה ואת הציבור, כמו כן התובעת מנצלת את תפקידה הציבורי לרעה [סע' ב לסיכומי התובעת]. </w:t>
      </w:r>
    </w:p>
    <w:p w:rsidR="00E543B0" w:rsidP="00E543B0" w:rsidRDefault="00E543B0">
      <w:pPr>
        <w:pStyle w:val="ad"/>
        <w:rPr>
          <w:rFonts w:ascii="David" w:hAnsi="David" w:cs="David"/>
          <w:sz w:val="24"/>
          <w:szCs w:val="24"/>
        </w:rPr>
      </w:pPr>
    </w:p>
    <w:p w:rsidR="00E543B0" w:rsidP="00E543B0" w:rsidRDefault="00E543B0">
      <w:pPr>
        <w:pStyle w:val="ad"/>
        <w:numPr>
          <w:ilvl w:val="0"/>
          <w:numId w:val="1"/>
        </w:numPr>
        <w:spacing w:line="360" w:lineRule="auto"/>
        <w:jc w:val="both"/>
        <w:rPr>
          <w:rFonts w:ascii="David" w:hAnsi="David" w:cs="David"/>
          <w:sz w:val="24"/>
          <w:szCs w:val="24"/>
          <w:rtl/>
        </w:rPr>
      </w:pPr>
      <w:r>
        <w:rPr>
          <w:rFonts w:ascii="David" w:hAnsi="David" w:cs="David"/>
          <w:sz w:val="24"/>
          <w:szCs w:val="24"/>
          <w:rtl/>
        </w:rPr>
        <w:t xml:space="preserve">לטענת התובעת ולנוכח העובדה שהדברים עולים כדי לשון הרע היא הגישה תביעתה לפי סע' 7א(ב) לחוק איסור לשון הרע, תוך שהתובעת עותרת לפיצוי בסך של 50,000 ₪ ולא בשים לב לסכום שהתובעת היתה יכולה ולפי סע' 7א(ה) לחוק איסור לשון הרע. במאמר מוסגר אין כל חובה לתבוע את מלוא הפיצוי הקבוע בחוק ללא הוכחת נזק, ותובע יכול להקטין את הסכום ולהעמידו על כל סכום שבין 1 ₪ לרף העליון שקובע החוק לתביעה ללא הוכחת נזק בשים לב להצמדות ועדכון סכומי הפיצוי. </w:t>
      </w:r>
    </w:p>
    <w:p w:rsidR="00E543B0" w:rsidP="00E543B0" w:rsidRDefault="00E543B0">
      <w:pPr>
        <w:pStyle w:val="ad"/>
        <w:rPr>
          <w:rFonts w:ascii="David" w:hAnsi="David" w:cs="David"/>
          <w:sz w:val="24"/>
          <w:szCs w:val="24"/>
        </w:rPr>
      </w:pPr>
    </w:p>
    <w:p w:rsidR="00E543B0" w:rsidP="00E543B0" w:rsidRDefault="00E543B0">
      <w:pPr>
        <w:pStyle w:val="ad"/>
        <w:numPr>
          <w:ilvl w:val="0"/>
          <w:numId w:val="1"/>
        </w:numPr>
        <w:spacing w:line="360" w:lineRule="auto"/>
        <w:jc w:val="both"/>
        <w:rPr>
          <w:rFonts w:ascii="David" w:hAnsi="David" w:cs="David"/>
          <w:sz w:val="24"/>
          <w:szCs w:val="24"/>
          <w:rtl/>
        </w:rPr>
      </w:pPr>
      <w:r>
        <w:rPr>
          <w:rFonts w:ascii="David" w:hAnsi="David" w:cs="David"/>
          <w:sz w:val="24"/>
          <w:szCs w:val="24"/>
          <w:rtl/>
        </w:rPr>
        <w:t>הנתבע מצדו אינו מתכחש לתוכן הדברים כפי שאלו נרשמו בפרוטוקול הדין בהליך המשפטי בפני המפקחת.</w:t>
      </w:r>
    </w:p>
    <w:p w:rsidR="00E543B0" w:rsidP="00E543B0" w:rsidRDefault="00E543B0">
      <w:pPr>
        <w:pStyle w:val="ad"/>
        <w:rPr>
          <w:rFonts w:ascii="David" w:hAnsi="David" w:cs="David"/>
          <w:sz w:val="24"/>
          <w:szCs w:val="24"/>
        </w:rPr>
      </w:pPr>
    </w:p>
    <w:p w:rsidR="00E543B0" w:rsidP="00E543B0" w:rsidRDefault="00E543B0">
      <w:pPr>
        <w:pStyle w:val="ad"/>
        <w:numPr>
          <w:ilvl w:val="0"/>
          <w:numId w:val="1"/>
        </w:numPr>
        <w:spacing w:line="360" w:lineRule="auto"/>
        <w:jc w:val="both"/>
        <w:rPr>
          <w:rFonts w:ascii="David" w:hAnsi="David" w:cs="David"/>
          <w:sz w:val="24"/>
          <w:szCs w:val="24"/>
          <w:rtl/>
        </w:rPr>
      </w:pPr>
      <w:r>
        <w:rPr>
          <w:rFonts w:ascii="David" w:hAnsi="David" w:cs="David"/>
          <w:sz w:val="24"/>
          <w:szCs w:val="24"/>
          <w:rtl/>
        </w:rPr>
        <w:t>לטענת הנתבע הרי שדבריו אינם עולים כדי פרסום שלילי העולה כדי לשון הרע. עוד טוען הנתבע שגם אם אכן הדברים עולים כדי פרסום לשון הרע, הרי שאלו חוסים תחת ההגנה הקבועה בסע' 13(5) לחוק איסור לשון הרע, שכן הוא התייצב לדיון כעד מטעמו של בעל דין – במקרה זה אחיו של הנתבע, דבריו נאמרו במהלך הדיון, כאשר המפקחת שניהלה את הדיון אפשרה לנתבע להשמיע דברים ואלו אף נכנסו לפרוטוקול. לטענת הנתבעת הדברים נאמרו כעדות על התנהלות התובעת כיו"ר וועד הבית, וכחיזוק לטענות אחיו של הנתבע שהתובעת אינה ראויה ואינה כשירה לשמש כוועד בית.</w:t>
      </w:r>
    </w:p>
    <w:p w:rsidR="00E543B0" w:rsidP="00E543B0" w:rsidRDefault="00E543B0">
      <w:pPr>
        <w:pStyle w:val="ad"/>
        <w:rPr>
          <w:rFonts w:ascii="David" w:hAnsi="David" w:cs="David"/>
          <w:sz w:val="24"/>
          <w:szCs w:val="24"/>
        </w:rPr>
      </w:pPr>
    </w:p>
    <w:p w:rsidR="00E543B0" w:rsidP="00E543B0" w:rsidRDefault="00E543B0">
      <w:pPr>
        <w:pStyle w:val="ad"/>
        <w:numPr>
          <w:ilvl w:val="0"/>
          <w:numId w:val="1"/>
        </w:numPr>
        <w:spacing w:line="360" w:lineRule="auto"/>
        <w:jc w:val="both"/>
        <w:rPr>
          <w:rFonts w:ascii="David" w:hAnsi="David" w:cs="David"/>
          <w:sz w:val="24"/>
          <w:szCs w:val="24"/>
          <w:rtl/>
        </w:rPr>
      </w:pPr>
      <w:r>
        <w:rPr>
          <w:rFonts w:ascii="David" w:hAnsi="David" w:cs="David"/>
          <w:sz w:val="24"/>
          <w:szCs w:val="24"/>
          <w:rtl/>
        </w:rPr>
        <w:t xml:space="preserve">הנתבע מוסיף ומבקש להסתמך על ההגנה העומדת לנתבע בתביעת לשון של אמת בפרסום, כמשמעותו בסע' 14 לחוק איסור לשון הרע, שכן וכך הוא לטענת הנתבע התובעת מודה שהיא ניתקה את החשמל בחדר המדרגות [ראו גם סע' 8 ו-9 לכתב התביעה]. </w:t>
      </w:r>
    </w:p>
    <w:p w:rsidR="00E543B0" w:rsidP="00E543B0" w:rsidRDefault="00E543B0">
      <w:pPr>
        <w:pStyle w:val="ad"/>
        <w:rPr>
          <w:rFonts w:ascii="David" w:hAnsi="David" w:cs="David"/>
          <w:sz w:val="24"/>
          <w:szCs w:val="24"/>
        </w:rPr>
      </w:pPr>
    </w:p>
    <w:p w:rsidR="00E543B0" w:rsidP="00E543B0" w:rsidRDefault="00E543B0">
      <w:pPr>
        <w:pStyle w:val="ad"/>
        <w:numPr>
          <w:ilvl w:val="0"/>
          <w:numId w:val="1"/>
        </w:numPr>
        <w:spacing w:line="360" w:lineRule="auto"/>
        <w:jc w:val="both"/>
        <w:rPr>
          <w:rFonts w:ascii="David" w:hAnsi="David" w:cs="David"/>
          <w:sz w:val="24"/>
          <w:szCs w:val="24"/>
          <w:rtl/>
        </w:rPr>
      </w:pPr>
      <w:r>
        <w:rPr>
          <w:rFonts w:ascii="David" w:hAnsi="David" w:cs="David"/>
          <w:sz w:val="24"/>
          <w:szCs w:val="24"/>
          <w:rtl/>
        </w:rPr>
        <w:t>עוד מבקש הנתבע לחסות תחת הגנת תום הלב הקבוע בסע' 15. כאשר נועץ הנתבע את יהבו על ההגנה הקבועה בסע' 15(3) לחוק איסור לשון הרע, ומשכך יש לדחות את התביעה.</w:t>
      </w:r>
    </w:p>
    <w:p w:rsidR="00E543B0" w:rsidP="00E543B0" w:rsidRDefault="00E543B0">
      <w:pPr>
        <w:pStyle w:val="ad"/>
        <w:rPr>
          <w:rFonts w:ascii="David" w:hAnsi="David" w:cs="David"/>
          <w:sz w:val="24"/>
          <w:szCs w:val="24"/>
        </w:rPr>
      </w:pPr>
    </w:p>
    <w:p w:rsidR="00E543B0" w:rsidP="00E543B0" w:rsidRDefault="00E543B0">
      <w:pPr>
        <w:pStyle w:val="ad"/>
        <w:rPr>
          <w:rFonts w:ascii="David" w:hAnsi="David" w:cs="David"/>
          <w:sz w:val="24"/>
          <w:szCs w:val="24"/>
          <w:rtl/>
        </w:rPr>
      </w:pPr>
    </w:p>
    <w:p w:rsidR="00E543B0" w:rsidP="00E543B0" w:rsidRDefault="00E543B0">
      <w:pPr>
        <w:pStyle w:val="ad"/>
        <w:rPr>
          <w:rFonts w:ascii="David" w:hAnsi="David" w:cs="David"/>
          <w:sz w:val="24"/>
          <w:szCs w:val="24"/>
          <w:rtl/>
        </w:rPr>
      </w:pPr>
    </w:p>
    <w:p w:rsidR="00E543B0" w:rsidP="00E543B0" w:rsidRDefault="00E543B0">
      <w:pPr>
        <w:pStyle w:val="ad"/>
        <w:rPr>
          <w:rFonts w:ascii="David" w:hAnsi="David" w:cs="David"/>
          <w:sz w:val="24"/>
          <w:szCs w:val="24"/>
          <w:rtl/>
        </w:rPr>
      </w:pPr>
    </w:p>
    <w:p w:rsidR="00E543B0" w:rsidP="00E543B0" w:rsidRDefault="00E543B0">
      <w:pPr>
        <w:ind w:firstLine="360"/>
        <w:rPr>
          <w:rFonts w:ascii="Miriam" w:hAnsi="Miriam" w:cs="Miriam"/>
          <w:u w:val="single"/>
          <w:rtl/>
        </w:rPr>
      </w:pPr>
      <w:r>
        <w:rPr>
          <w:rFonts w:ascii="Miriam" w:hAnsi="Miriam" w:cs="Miriam"/>
          <w:u w:val="single"/>
          <w:rtl/>
        </w:rPr>
        <w:lastRenderedPageBreak/>
        <w:t>''ההלכה'' ו''ההלכה למעשה'' - דיון והכרעה</w:t>
      </w:r>
    </w:p>
    <w:p w:rsidR="00E543B0" w:rsidP="00E543B0" w:rsidRDefault="00E543B0">
      <w:pPr>
        <w:ind w:firstLine="360"/>
        <w:rPr>
          <w:rFonts w:ascii="Miriam" w:hAnsi="Miriam" w:cs="Miriam"/>
          <w:u w:val="single"/>
          <w:rtl/>
        </w:rPr>
      </w:pPr>
    </w:p>
    <w:p w:rsidR="00E543B0" w:rsidP="00E543B0" w:rsidRDefault="00E543B0">
      <w:pPr>
        <w:pStyle w:val="10"/>
        <w:numPr>
          <w:ilvl w:val="0"/>
          <w:numId w:val="1"/>
        </w:numPr>
        <w:spacing w:after="0" w:line="360" w:lineRule="auto"/>
        <w:jc w:val="both"/>
        <w:rPr>
          <w:rFonts w:ascii="David" w:hAnsi="David" w:cs="David"/>
          <w:sz w:val="24"/>
          <w:szCs w:val="24"/>
        </w:rPr>
      </w:pPr>
      <w:r>
        <w:rPr>
          <w:rFonts w:ascii="David" w:hAnsi="David" w:cs="David"/>
          <w:sz w:val="24"/>
          <w:szCs w:val="24"/>
          <w:rtl/>
        </w:rPr>
        <w:t xml:space="preserve">סע' 1 לחוק איסור לשון הרע מגדיר לנו לשון הרע מהו, וההגדרה היא רחבה עד למאוד, היא כוללת ארבע חלופות. שלוש חלופות ספציפיות המכוונות למקרים מוגדרים. </w:t>
      </w:r>
    </w:p>
    <w:p w:rsidR="00E543B0" w:rsidP="00E543B0" w:rsidRDefault="00E543B0">
      <w:pPr>
        <w:pStyle w:val="10"/>
        <w:spacing w:after="0" w:line="360" w:lineRule="auto"/>
        <w:jc w:val="both"/>
        <w:rPr>
          <w:rFonts w:ascii="David" w:hAnsi="David" w:cs="David"/>
          <w:sz w:val="24"/>
          <w:szCs w:val="24"/>
        </w:rPr>
      </w:pPr>
    </w:p>
    <w:p w:rsidR="00E543B0" w:rsidP="00E543B0" w:rsidRDefault="00E543B0">
      <w:pPr>
        <w:pStyle w:val="10"/>
        <w:numPr>
          <w:ilvl w:val="0"/>
          <w:numId w:val="1"/>
        </w:numPr>
        <w:spacing w:after="0" w:line="360" w:lineRule="auto"/>
        <w:jc w:val="both"/>
        <w:rPr>
          <w:rFonts w:ascii="David" w:hAnsi="David" w:cs="David"/>
          <w:sz w:val="24"/>
          <w:szCs w:val="24"/>
        </w:rPr>
      </w:pPr>
      <w:r>
        <w:rPr>
          <w:rFonts w:ascii="David" w:hAnsi="David" w:cs="David"/>
          <w:sz w:val="24"/>
          <w:szCs w:val="24"/>
          <w:rtl/>
        </w:rPr>
        <w:t xml:space="preserve">מבחינת חוק איסור לשון הרע אין צורך בכך שהדברים יגרמו לנזק אלא די בכך שהדברים שיאמרו על האחר יהיו בעלי מטען 'נפיץ''. קביעה מושתת על לשונו של החוק בסע' 1 הקובע כי די בכך שהדברים שנאמרו נכנסים תחת המטריה של 'עלולים' לגרום לאחת מהחלופות הקבועות בסע' 1 לחוק איסור לשון הרע, ומהם אותם החלופות: </w:t>
      </w:r>
      <w:r>
        <w:rPr>
          <w:rFonts w:ascii="Miriam" w:hAnsi="Miriam" w:cs="Miriam"/>
          <w:sz w:val="24"/>
          <w:szCs w:val="24"/>
          <w:rtl/>
        </w:rPr>
        <w:t>חלופה ראשונה</w:t>
      </w:r>
      <w:r>
        <w:rPr>
          <w:rFonts w:ascii="David" w:hAnsi="David" w:cs="David"/>
          <w:sz w:val="24"/>
          <w:szCs w:val="24"/>
          <w:rtl/>
        </w:rPr>
        <w:t xml:space="preserve"> – ביזוי אדם בשל מעשה, התנהגות או תכונה המיוחסות לנפגע – סע' 1(2) לחוק איסור לשון הרע. </w:t>
      </w:r>
      <w:r>
        <w:rPr>
          <w:rFonts w:ascii="Miriam" w:hAnsi="Miriam" w:cs="Miriam"/>
          <w:sz w:val="24"/>
          <w:szCs w:val="24"/>
          <w:rtl/>
        </w:rPr>
        <w:t>חלופה שנייה</w:t>
      </w:r>
      <w:r>
        <w:rPr>
          <w:rFonts w:ascii="David" w:hAnsi="David" w:cs="David"/>
          <w:sz w:val="24"/>
          <w:szCs w:val="24"/>
          <w:rtl/>
        </w:rPr>
        <w:t xml:space="preserve"> – דברים שבכוחם לפגוע במשרה, משלח יד, או מקצוע של הנפגע – סע' 1(3) לחוק איסור לשון הרע. </w:t>
      </w:r>
      <w:r>
        <w:rPr>
          <w:rFonts w:ascii="Miriam" w:hAnsi="Miriam" w:cs="Miriam"/>
          <w:sz w:val="24"/>
          <w:szCs w:val="24"/>
          <w:rtl/>
        </w:rPr>
        <w:t>חלופה שלישית</w:t>
      </w:r>
      <w:r>
        <w:rPr>
          <w:rFonts w:ascii="David" w:hAnsi="David" w:cs="David"/>
          <w:sz w:val="24"/>
          <w:szCs w:val="24"/>
          <w:rtl/>
        </w:rPr>
        <w:t xml:space="preserve"> – דברים שיש בהם כדי לבזות אדם על רקע, גזע, מוצא, דת , מקום מגורים, גיל, מין, נטייה מינית או מוגבלות – סע' 1(4) לחוק איסור לשון הרע.  לצד שלושת חלופות ייעודיות אלו, מונה החוק חלופת סל נוספת וקובע </w:t>
      </w:r>
      <w:r>
        <w:rPr>
          <w:rFonts w:ascii="Miriam" w:hAnsi="Miriam" w:cs="Miriam"/>
          <w:sz w:val="24"/>
          <w:szCs w:val="24"/>
          <w:rtl/>
        </w:rPr>
        <w:t>חלופה רביעית</w:t>
      </w:r>
      <w:r>
        <w:rPr>
          <w:rFonts w:ascii="David" w:hAnsi="David" w:cs="David"/>
          <w:sz w:val="24"/>
          <w:szCs w:val="24"/>
          <w:rtl/>
        </w:rPr>
        <w:t xml:space="preserve"> נוספת – וזו מכוונת לדברים שבכוחם  להשפיל אדם בעיני הבריות או לעשותם מטרה לשנאה, לבוז או ללעג מצדן של הבריות – סע' 1(1) לחוק איסור לשון הרע. צא ולמד מלשונו של החוק הכל יכול ויכנס בגדר לשון הרע. כמעט כל דיבור שלילי או אפילו חיובי, אמיתי או שקרי, שיכוונו נגד אדם מסוים יכול ויכנס תחת הגדרת לשון הרע. </w:t>
      </w:r>
    </w:p>
    <w:p w:rsidR="00E543B0" w:rsidP="00E543B0" w:rsidRDefault="00E543B0">
      <w:pPr>
        <w:pStyle w:val="10"/>
        <w:rPr>
          <w:rFonts w:ascii="David" w:hAnsi="David" w:cs="David"/>
          <w:sz w:val="24"/>
          <w:szCs w:val="24"/>
        </w:rPr>
      </w:pPr>
    </w:p>
    <w:p w:rsidR="00E543B0" w:rsidP="00E543B0" w:rsidRDefault="00E543B0">
      <w:pPr>
        <w:pStyle w:val="10"/>
        <w:numPr>
          <w:ilvl w:val="0"/>
          <w:numId w:val="1"/>
        </w:numPr>
        <w:spacing w:after="0" w:line="360" w:lineRule="auto"/>
        <w:jc w:val="both"/>
        <w:rPr>
          <w:rFonts w:ascii="David" w:hAnsi="David" w:cs="David"/>
          <w:sz w:val="24"/>
          <w:szCs w:val="24"/>
        </w:rPr>
      </w:pPr>
      <w:r>
        <w:rPr>
          <w:rFonts w:ascii="David" w:hAnsi="David" w:cs="David"/>
          <w:sz w:val="24"/>
          <w:szCs w:val="24"/>
          <w:rtl/>
        </w:rPr>
        <w:t>חוק איסור לשון הרע מבקש ליצור את האיזון הראוי שבין אינטרסים שונים, ובעיקר בין חופש הביטוי לבין הזכות לשם טוב, ויפים בהקשר זה דברים ששנה לנו השופט פוגלמן באומרו: "</w:t>
      </w:r>
      <w:r>
        <w:rPr>
          <w:rFonts w:ascii="Miriam" w:hAnsi="Miriam" w:cs="Miriam"/>
          <w:sz w:val="24"/>
          <w:szCs w:val="24"/>
          <w:rtl/>
        </w:rPr>
        <w:t>דיני לשון הרע משקפים איזון עדין בין זכויות ואינטרסים כבדי משקל, המושכים לכיוונים מנוגדים: הזכות לשם טוב מזה, והזכות לחופש ביטוי מזה</w:t>
      </w:r>
      <w:r>
        <w:rPr>
          <w:rFonts w:ascii="David" w:hAnsi="David" w:cs="David"/>
          <w:sz w:val="24"/>
          <w:szCs w:val="24"/>
          <w:rtl/>
        </w:rPr>
        <w:t xml:space="preserve">" [השופט פוגלמן ע"א 6903/12 </w:t>
      </w:r>
      <w:r>
        <w:rPr>
          <w:rFonts w:ascii="David" w:hAnsi="David" w:cs="David"/>
          <w:b/>
          <w:bCs/>
          <w:color w:val="000000"/>
          <w:sz w:val="24"/>
          <w:szCs w:val="24"/>
        </w:rPr>
        <w:t>Canwest Global Communications Corp</w:t>
      </w:r>
      <w:r>
        <w:rPr>
          <w:rFonts w:ascii="David" w:hAnsi="David" w:cs="David"/>
          <w:b/>
          <w:bCs/>
          <w:color w:val="000000"/>
          <w:sz w:val="24"/>
          <w:szCs w:val="24"/>
          <w:rtl/>
        </w:rPr>
        <w:t xml:space="preserve"> נ' אלי עזור</w:t>
      </w:r>
      <w:r>
        <w:rPr>
          <w:rFonts w:ascii="David" w:hAnsi="David" w:cs="David"/>
          <w:b/>
          <w:bCs/>
          <w:sz w:val="24"/>
          <w:szCs w:val="24"/>
          <w:rtl/>
        </w:rPr>
        <w:t xml:space="preserve">, </w:t>
      </w:r>
      <w:r>
        <w:rPr>
          <w:rFonts w:ascii="David" w:hAnsi="David" w:cs="David"/>
          <w:sz w:val="24"/>
          <w:szCs w:val="24"/>
          <w:rtl/>
        </w:rPr>
        <w:t xml:space="preserve"> (נבו)(22.7.2015), פסקה 9]. עוד נזכיר מדבריו של השופט גורניס באשר לתכליתו של חוק איסור לשון הרע כפי ששנה לנו וכך הוא לשונו: </w:t>
      </w:r>
      <w:r>
        <w:rPr>
          <w:rFonts w:ascii="Miriam" w:hAnsi="Miriam" w:cs="Miriam"/>
          <w:sz w:val="24"/>
          <w:szCs w:val="24"/>
          <w:rtl/>
        </w:rPr>
        <w:t>תכליתו שלחוק איסור לשון הרע היא לספק מענה להתנגשות הזכויות שנוצרת מקום שנעשה פרסום הכרוך בלשון הרע. החוק מבקש להבטיח את כבוד האדם ואת זכותו לשם טוב של הנפגע מן הפרסום. בה בעת, מבקש הוא להבטיח גם את הזכויות והאינטרסים הטמונים בפרסומים שונים, וזאת בדגש על חופש הביטוי וחופש העיתונות. דומה שאין צורך להכביר מילים על חשיבותם של הזכויות והאינטרסים הניצבים משני צידי המתרס, הן מבחינת הפרט הן מבחינת הציבור והמשטר הדמוקרטי. הדברים נדונו בהרחבה לא אחת בפסיקה, לרבות בפסק הדין נושא הדיון הנוסף, ואיני רואה להוסיף על מה שנאמר שם. נאמן לתפישה לפיה אין זכויות מוחלטות, אף החוק לא העדיף באופן נחרץ את אחת הזכויות על פני רעותה, והוא קבע נקודות איזון שונות ביניהן</w:t>
      </w:r>
      <w:r>
        <w:rPr>
          <w:rtl/>
        </w:rPr>
        <w:t xml:space="preserve">" </w:t>
      </w:r>
      <w:r>
        <w:rPr>
          <w:rFonts w:ascii="David" w:hAnsi="David" w:cs="David"/>
          <w:rtl/>
        </w:rPr>
        <w:t xml:space="preserve">[השופט אשר גורניס דנ"א 2121/12  </w:t>
      </w:r>
      <w:r>
        <w:rPr>
          <w:rFonts w:ascii="David" w:hAnsi="David" w:cs="David"/>
          <w:b/>
          <w:bCs/>
          <w:rtl/>
        </w:rPr>
        <w:t>פלוני נ' ד"ר אילנה דיין,</w:t>
      </w:r>
      <w:r>
        <w:rPr>
          <w:rFonts w:ascii="David" w:hAnsi="David" w:cs="David"/>
          <w:rtl/>
        </w:rPr>
        <w:t xml:space="preserve"> פסקה 19 [נבו]</w:t>
      </w:r>
      <w:r>
        <w:rPr>
          <w:rFonts w:ascii="David" w:hAnsi="David" w:cs="David"/>
          <w:sz w:val="24"/>
          <w:szCs w:val="24"/>
          <w:rtl/>
        </w:rPr>
        <w:t>].</w:t>
      </w:r>
    </w:p>
    <w:p w:rsidR="00E543B0" w:rsidP="00E543B0" w:rsidRDefault="00E543B0">
      <w:pPr>
        <w:pStyle w:val="10"/>
        <w:rPr>
          <w:rFonts w:ascii="David" w:hAnsi="David" w:cs="David"/>
          <w:sz w:val="24"/>
          <w:szCs w:val="24"/>
          <w:rtl/>
        </w:rPr>
      </w:pPr>
    </w:p>
    <w:p w:rsidR="00E543B0" w:rsidP="00E543B0" w:rsidRDefault="00E543B0">
      <w:pPr>
        <w:pStyle w:val="10"/>
        <w:numPr>
          <w:ilvl w:val="0"/>
          <w:numId w:val="1"/>
        </w:numPr>
        <w:spacing w:after="0" w:line="360" w:lineRule="auto"/>
        <w:jc w:val="both"/>
        <w:rPr>
          <w:rFonts w:ascii="David" w:hAnsi="David" w:cs="David"/>
          <w:sz w:val="24"/>
          <w:szCs w:val="24"/>
        </w:rPr>
      </w:pPr>
      <w:r>
        <w:rPr>
          <w:rFonts w:ascii="David" w:hAnsi="David" w:cs="David"/>
          <w:sz w:val="24"/>
          <w:szCs w:val="24"/>
          <w:rtl/>
        </w:rPr>
        <w:t>כאשר מונחת לפתחו של בית משפט תביעה שעילתה מעוגנת בחוק איסור לשון הרע הרי שדרך הילוכנו יהא, על דרך הכלל, בהתאם לתרשים זרימה מובנה. ויפים בהקשר זה דבריו של השופט יצחק עמית, כתוארו אז שהתווה את המסע המשפטי והתחנות שיש לעבור בדרך להכרעה, וכך הם דבריו:</w:t>
      </w:r>
      <w:r>
        <w:rPr>
          <w:rFonts w:ascii="David" w:hAnsi="David" w:cs="David"/>
          <w:sz w:val="24"/>
          <w:szCs w:val="24"/>
        </w:rPr>
        <w:t xml:space="preserve"> </w:t>
      </w:r>
      <w:r>
        <w:rPr>
          <w:rFonts w:ascii="David" w:hAnsi="David" w:cs="David"/>
          <w:sz w:val="24"/>
          <w:szCs w:val="24"/>
          <w:rtl/>
        </w:rPr>
        <w:t>"</w:t>
      </w:r>
      <w:r>
        <w:rPr>
          <w:rFonts w:ascii="Miriam" w:hAnsi="Miriam" w:cs="Miriam"/>
          <w:sz w:val="24"/>
          <w:szCs w:val="24"/>
          <w:rtl/>
        </w:rPr>
        <w:t>תרשים הזרימה בתביעות לשון הרע הוא כלהלן:  בשלב הראשון נבחנת השאלה אם הביטוי מהווה לשון הרע על פי אחת מארבע החלופות בהגדרה שבסעיף 1 לחוק, והאם מתקיים יסוד הפרסום כמשמעותו בסעיף 2 לחוק. רק אם התשובה חיובית עוברים לשלב הבא ובוחנים אם הביטוי נהנה מאחת החסינויות המוחלטות (פרסומים מותרים) הקבועות בסעיף 13 לחוק. אם נכנס הפרסום לד' אמות אחת החסינויות – דין התביעה להידחות. אם לא כן, אנו עוברים לשלב הבא  ובוחנים האם הפרסום מוגן על פי אמת המידה הקבועה בסעיף 14 לחוק על שתי רגליה – אמת בפרסום ועניין ציבורי. אם הפרסום אינו נהנה מהגנה זו, יש להמשיך ולבחון אם הפרסום מוגן בתום ליבו של המפרסם, בגדר אחת מהחלופות הקבועות בסעיף 15 לחוק במשולב עם חזקות תום הלב בסעיף 16. היה ונתברר כי הפרסום אינו נהנה מהגנת סעיף 14 או מהגנת סעיף 15, או-אז עוברים לשלב הרביעי של הסעדים".</w:t>
      </w:r>
      <w:r>
        <w:rPr>
          <w:rFonts w:ascii="David" w:hAnsi="David" w:cs="David"/>
          <w:sz w:val="24"/>
          <w:szCs w:val="24"/>
          <w:rtl/>
        </w:rPr>
        <w:t xml:space="preserve"> [ע"א 751/10 </w:t>
      </w:r>
      <w:r>
        <w:rPr>
          <w:rFonts w:ascii="David" w:hAnsi="David" w:cs="David"/>
          <w:b/>
          <w:bCs/>
          <w:sz w:val="24"/>
          <w:szCs w:val="24"/>
          <w:rtl/>
        </w:rPr>
        <w:t>פלוני נ' ד"ר אילנה דיין-אורבך,</w:t>
      </w:r>
      <w:r>
        <w:rPr>
          <w:rFonts w:ascii="David" w:hAnsi="David" w:cs="David"/>
          <w:sz w:val="24"/>
          <w:szCs w:val="24"/>
          <w:rtl/>
        </w:rPr>
        <w:t xml:space="preserve">  פ"ד סה(3) 369 עמ' 504 (2012) וראו גם דבריו של השופט גורניס דנ"א 2121/12 </w:t>
      </w:r>
      <w:r>
        <w:rPr>
          <w:rFonts w:ascii="David" w:hAnsi="David" w:cs="David"/>
          <w:b/>
          <w:bCs/>
          <w:sz w:val="24"/>
          <w:szCs w:val="24"/>
          <w:rtl/>
        </w:rPr>
        <w:t xml:space="preserve">פלוני נ' ד"ר אילנה דיין אורבך, </w:t>
      </w:r>
      <w:r>
        <w:rPr>
          <w:rFonts w:ascii="David" w:hAnsi="David" w:cs="David"/>
          <w:sz w:val="24"/>
          <w:szCs w:val="24"/>
          <w:rtl/>
        </w:rPr>
        <w:t>פ"ד סז(1) 667 עמ' 703-704].</w:t>
      </w:r>
    </w:p>
    <w:p w:rsidR="00E543B0" w:rsidP="00E543B0" w:rsidRDefault="00E543B0">
      <w:pPr>
        <w:pStyle w:val="10"/>
        <w:rPr>
          <w:rFonts w:ascii="David" w:hAnsi="David" w:cs="David"/>
          <w:sz w:val="24"/>
          <w:szCs w:val="24"/>
          <w:rtl/>
        </w:rPr>
      </w:pPr>
    </w:p>
    <w:p w:rsidR="00E543B0" w:rsidP="00E543B0" w:rsidRDefault="00E543B0">
      <w:pPr>
        <w:pStyle w:val="10"/>
        <w:numPr>
          <w:ilvl w:val="0"/>
          <w:numId w:val="1"/>
        </w:numPr>
        <w:spacing w:after="0" w:line="360" w:lineRule="auto"/>
        <w:jc w:val="both"/>
        <w:rPr>
          <w:rFonts w:ascii="David" w:hAnsi="David" w:cs="David"/>
          <w:sz w:val="24"/>
          <w:szCs w:val="24"/>
        </w:rPr>
      </w:pPr>
      <w:r>
        <w:rPr>
          <w:rFonts w:ascii="David" w:hAnsi="David" w:cs="David"/>
          <w:sz w:val="24"/>
          <w:szCs w:val="24"/>
          <w:rtl/>
        </w:rPr>
        <w:t xml:space="preserve"> </w:t>
      </w:r>
      <w:r>
        <w:rPr>
          <w:rFonts w:hint="cs" w:ascii="David" w:hAnsi="David" w:cs="David"/>
          <w:sz w:val="24"/>
          <w:szCs w:val="24"/>
          <w:rtl/>
        </w:rPr>
        <w:t xml:space="preserve">עוד בטרם נמשיך את מסענו בבירורן של הפלוגתאות נזכיר כי הנתבע בכתב הגנה מבקש לחסות תחת ההגנה הקבועה בסע' 13 לחוק איסור לשון הרע. ומה עניינו ופשרו של סע' 13 לחוק, ייחודו ברשימת מצבים, 11 במספר, שהם בבחינת פרסומים מותרים. כלומר הוראת סע' 13 לחוק מניחה רשימה של פרסומים מותרים שאמירתם ופרסומם לא ישמשו עילה למשפט אזרחי או פלילי. רוצה לומר כי גם אם יוכיח התובע כי מדובר בהתבטאויות שהן  לשון הרע כמשמעותן בסע' 1 לחוק איסור לשון הרע והדברים פורסמו כמשמעותו בסע' 2 לחוק איסור לשון הרע, אם הנתבע יראה שהדברים חוסים תחת אחת מהחלופות המפורטות בסע' 13 לחוק הרי שהפרסום יחשב פרסום מותר ולא ניתן יהיה לתבוע על פיו ולא לקבל סעד ופיצוי בעטיים של הדברים. ואם נבקש לזקק את הדברים עוד, הרי שגם אם הדברים שנאמרו אינם אמת, או הדברים נאמרו בחוסר תום לב, או אפילו נרחיק ונמצא שהדברים נאמרו בכוונת מכוון ומתוך כוונת זדון – גם אז יזכה המפרסם מהגנה מוחלטת ולו מהטעם שהמחוקק הקנה לפרסומים אלו חסינות. </w:t>
      </w:r>
    </w:p>
    <w:p w:rsidR="00E543B0" w:rsidP="00E543B0" w:rsidRDefault="00E543B0">
      <w:pPr>
        <w:pStyle w:val="10"/>
        <w:rPr>
          <w:rFonts w:hint="cs" w:ascii="David" w:hAnsi="David" w:cs="David"/>
          <w:sz w:val="24"/>
          <w:szCs w:val="24"/>
          <w:rtl/>
        </w:rPr>
      </w:pPr>
    </w:p>
    <w:p w:rsidR="00E543B0" w:rsidP="00E543B0" w:rsidRDefault="00E543B0">
      <w:pPr>
        <w:pStyle w:val="10"/>
        <w:numPr>
          <w:ilvl w:val="0"/>
          <w:numId w:val="1"/>
        </w:numPr>
        <w:spacing w:after="0" w:line="360" w:lineRule="auto"/>
        <w:jc w:val="both"/>
        <w:rPr>
          <w:rFonts w:ascii="David" w:hAnsi="David" w:cs="David"/>
          <w:sz w:val="24"/>
          <w:szCs w:val="24"/>
        </w:rPr>
      </w:pPr>
      <w:r>
        <w:rPr>
          <w:rFonts w:ascii="David" w:hAnsi="David" w:cs="David"/>
          <w:sz w:val="24"/>
          <w:szCs w:val="24"/>
          <w:rtl/>
        </w:rPr>
        <w:t xml:space="preserve">דומה כי על אף שדרך המלך שהתוותה לנו הלכת בית המשפט העליון בהניחו את דרך הילוכנו מקום שעניין לנו בתביעה שעילתה מושתת על חוק איסור לשון הרע. מסע שמתחיל בשאלה האם הדברים עולים כדי לשון הרע והאם הם פורסמו, ובהינתן תשובה חיובית לשתי שאלות אלו.  תבחן השאלה האם הדברים שפורסמו אכן מהווים לשון הרע חוסים תחת אחד המקרים מההגנות המפורטות בסעיפים 13, 14 ו-15 לחוק איסור לשון הרע. </w:t>
      </w:r>
      <w:r>
        <w:rPr>
          <w:rFonts w:ascii="David" w:hAnsi="David" w:cs="David"/>
          <w:sz w:val="24"/>
          <w:szCs w:val="24"/>
          <w:rtl/>
        </w:rPr>
        <w:lastRenderedPageBreak/>
        <w:t xml:space="preserve">דומה שמקום שהדברים והפרסום יכולים להיכנס תחת אחד מהמצבים המותרים לפרסום ואשר מנויים בסע' 13 לחוק איסור לשון הרע ראוי להתחיל את בירור הפלוגתאות דווקא מסע' 13 לחוק, ומקום שהדברים אכן חוסים תחת אחת החלופות המפורטות בסע' 13 אין עוד טעם ותכלית בבירור השאלה האם הדברים עולים כדי לשון הרע אם לאו. וככל שהתשובה לכך היא חיובית אין עוד מקום לבירור נוסף שהרי 'ממה נפשך' ומה זה משנה האם הדברים עולים כדי לשון הרע והאם הם פורסמו אם לאו אם הפרסום בסופו של יום מותר. </w:t>
      </w:r>
    </w:p>
    <w:p w:rsidR="00E543B0" w:rsidP="00E543B0" w:rsidRDefault="00E543B0">
      <w:pPr>
        <w:pStyle w:val="ad"/>
        <w:rPr>
          <w:rFonts w:ascii="David" w:hAnsi="David" w:cs="David"/>
          <w:sz w:val="24"/>
          <w:szCs w:val="24"/>
        </w:rPr>
      </w:pPr>
    </w:p>
    <w:p w:rsidR="00E543B0" w:rsidP="00E543B0" w:rsidRDefault="00E543B0">
      <w:pPr>
        <w:pStyle w:val="10"/>
        <w:numPr>
          <w:ilvl w:val="0"/>
          <w:numId w:val="1"/>
        </w:numPr>
        <w:spacing w:after="0" w:line="360" w:lineRule="auto"/>
        <w:jc w:val="both"/>
        <w:rPr>
          <w:rFonts w:ascii="David" w:hAnsi="David" w:cs="David"/>
          <w:sz w:val="24"/>
          <w:szCs w:val="24"/>
          <w:rtl/>
        </w:rPr>
      </w:pPr>
      <w:r>
        <w:rPr>
          <w:rFonts w:ascii="David" w:hAnsi="David" w:cs="David"/>
          <w:sz w:val="24"/>
          <w:szCs w:val="24"/>
          <w:rtl/>
        </w:rPr>
        <w:t xml:space="preserve">ודוק: יש להבדיל בין ההגנה הקבועה בסע' 13 לחוק איסור לשון הרע לבין ההגנות הקבועות בסע' 14 ו-15 לחוק איסור לשון הרע. על ההבדל בין ההגנות השונות עמד השופט יצחק עמית, בשבתו כשופט בית המשפט המחוזי, באומרו: </w:t>
      </w:r>
      <w:r>
        <w:rPr>
          <w:rFonts w:ascii="Miriam" w:hAnsi="Miriam" w:cs="Miriam"/>
          <w:sz w:val="24"/>
          <w:szCs w:val="24"/>
          <w:rtl/>
        </w:rPr>
        <w:t xml:space="preserve">ולשם הבהירות, אשתמש להלן במילה </w:t>
      </w:r>
      <w:r>
        <w:rPr>
          <w:rFonts w:ascii="Miriam" w:hAnsi="Miriam" w:cs="Miriam"/>
          <w:bCs/>
          <w:sz w:val="24"/>
          <w:szCs w:val="24"/>
          <w:rtl/>
        </w:rPr>
        <w:t>חסינות</w:t>
      </w:r>
      <w:r>
        <w:rPr>
          <w:rFonts w:ascii="Miriam" w:hAnsi="Miriam" w:cs="Miriam"/>
          <w:sz w:val="24"/>
          <w:szCs w:val="24"/>
          <w:rtl/>
        </w:rPr>
        <w:t xml:space="preserve">, כדי להבחין בין פרסום המוגן על ידי סע' 13 באופן מוחלט </w:t>
      </w:r>
      <w:r>
        <w:rPr>
          <w:rFonts w:ascii="Miriam" w:hAnsi="Miriam" w:cs="Miriam"/>
          <w:bCs/>
          <w:sz w:val="24"/>
          <w:szCs w:val="24"/>
          <w:rtl/>
        </w:rPr>
        <w:t>מלכתחילה,</w:t>
      </w:r>
      <w:r>
        <w:rPr>
          <w:rFonts w:ascii="Miriam" w:hAnsi="Miriam" w:cs="Miriam"/>
          <w:sz w:val="24"/>
          <w:szCs w:val="24"/>
          <w:rtl/>
        </w:rPr>
        <w:t xml:space="preserve"> לבין המונח </w:t>
      </w:r>
      <w:r>
        <w:rPr>
          <w:rFonts w:ascii="Miriam" w:hAnsi="Miriam" w:cs="Miriam"/>
          <w:bCs/>
          <w:sz w:val="24"/>
          <w:szCs w:val="24"/>
          <w:rtl/>
        </w:rPr>
        <w:t xml:space="preserve">הגנה, </w:t>
      </w:r>
      <w:r>
        <w:rPr>
          <w:rFonts w:ascii="Miriam" w:hAnsi="Miriam" w:cs="Miriam"/>
          <w:sz w:val="24"/>
          <w:szCs w:val="24"/>
          <w:rtl/>
        </w:rPr>
        <w:t xml:space="preserve">שעניינו הגנה </w:t>
      </w:r>
      <w:r>
        <w:rPr>
          <w:rFonts w:ascii="Miriam" w:hAnsi="Miriam" w:cs="Miriam"/>
          <w:bCs/>
          <w:sz w:val="24"/>
          <w:szCs w:val="24"/>
          <w:rtl/>
        </w:rPr>
        <w:t>בדיעבד</w:t>
      </w:r>
      <w:r>
        <w:rPr>
          <w:rFonts w:ascii="Miriam" w:hAnsi="Miriam" w:cs="Miriam"/>
          <w:sz w:val="24"/>
          <w:szCs w:val="24"/>
          <w:rtl/>
        </w:rPr>
        <w:t xml:space="preserve"> על פרסום לפי סעיפים 14-15 לחוק איסור לשון הרע" </w:t>
      </w:r>
      <w:r>
        <w:rPr>
          <w:rFonts w:ascii="David" w:hAnsi="David" w:cs="David"/>
          <w:sz w:val="24"/>
          <w:szCs w:val="24"/>
          <w:rtl/>
        </w:rPr>
        <w:t xml:space="preserve">[ע"פ (מחוזי-חיפה) 2098/02 </w:t>
      </w:r>
      <w:r>
        <w:rPr>
          <w:rFonts w:ascii="David" w:hAnsi="David" w:cs="David"/>
          <w:b/>
          <w:bCs/>
          <w:sz w:val="24"/>
          <w:szCs w:val="24"/>
          <w:rtl/>
        </w:rPr>
        <w:t>אעלימי נזאר, עו"ד נ' מדינת ישראל</w:t>
      </w:r>
      <w:r>
        <w:rPr>
          <w:rFonts w:ascii="David" w:hAnsi="David" w:cs="David"/>
          <w:sz w:val="24"/>
          <w:szCs w:val="24"/>
          <w:rtl/>
        </w:rPr>
        <w:t xml:space="preserve"> (נבו)(2.5.2002) עוד ראו: פסק דינה של כבוד השופטת אביגיל כהן רע"א (מחוזי תל-אביב) 29227-02-15 </w:t>
      </w:r>
      <w:r>
        <w:rPr>
          <w:rFonts w:ascii="David" w:hAnsi="David" w:cs="David"/>
          <w:b/>
          <w:bCs/>
          <w:sz w:val="24"/>
          <w:szCs w:val="24"/>
          <w:rtl/>
        </w:rPr>
        <w:t xml:space="preserve">ישראל אוקסמן קליוסטרו נ' אדי סוברי, </w:t>
      </w:r>
      <w:r>
        <w:rPr>
          <w:rFonts w:ascii="David" w:hAnsi="David" w:cs="David"/>
          <w:sz w:val="24"/>
          <w:szCs w:val="24"/>
          <w:rtl/>
        </w:rPr>
        <w:t>(נבו)(1.6.2015)].</w:t>
      </w:r>
    </w:p>
    <w:p w:rsidR="00E543B0" w:rsidP="00E543B0" w:rsidRDefault="00E543B0">
      <w:pPr>
        <w:pStyle w:val="10"/>
        <w:rPr>
          <w:rFonts w:ascii="David" w:hAnsi="David" w:cs="David"/>
          <w:sz w:val="24"/>
          <w:szCs w:val="24"/>
          <w:rtl/>
        </w:rPr>
      </w:pPr>
    </w:p>
    <w:p w:rsidR="00E543B0" w:rsidP="00E543B0" w:rsidRDefault="00E543B0">
      <w:pPr>
        <w:pStyle w:val="10"/>
        <w:numPr>
          <w:ilvl w:val="0"/>
          <w:numId w:val="1"/>
        </w:numPr>
        <w:spacing w:after="0" w:line="360" w:lineRule="auto"/>
        <w:jc w:val="both"/>
        <w:rPr>
          <w:rFonts w:ascii="David" w:hAnsi="David" w:cs="David"/>
          <w:sz w:val="24"/>
          <w:szCs w:val="24"/>
        </w:rPr>
      </w:pPr>
      <w:r>
        <w:rPr>
          <w:rFonts w:ascii="David" w:hAnsi="David" w:cs="David"/>
          <w:sz w:val="24"/>
          <w:szCs w:val="24"/>
          <w:rtl/>
        </w:rPr>
        <w:t xml:space="preserve">עוד נוסיף ונציין כי בפסיקת בית המשפט העליון השתרשה הגישה לפיה החסינות האמורה בסע' 13 לחוק איסור לשון הרע היא חסינות ''מוחלטת'' שאינה מסויגת [ראו: השופט עוזי פוגלמן ע"א 4244/20 </w:t>
      </w:r>
      <w:r>
        <w:rPr>
          <w:rFonts w:ascii="David" w:hAnsi="David" w:cs="David"/>
          <w:b/>
          <w:bCs/>
          <w:sz w:val="24"/>
          <w:szCs w:val="24"/>
          <w:rtl/>
        </w:rPr>
        <w:t xml:space="preserve"> כרמל שאמה הכהן נ' משה רווח </w:t>
      </w:r>
      <w:r>
        <w:rPr>
          <w:rFonts w:ascii="David" w:hAnsi="David" w:cs="David"/>
          <w:sz w:val="24"/>
          <w:szCs w:val="24"/>
          <w:rtl/>
        </w:rPr>
        <w:t>(נבו)(2.1.2023) פסקה 23]</w:t>
      </w:r>
      <w:r>
        <w:rPr>
          <w:rFonts w:ascii="David" w:hAnsi="David" w:cs="David"/>
          <w:b/>
          <w:bCs/>
          <w:sz w:val="24"/>
          <w:szCs w:val="24"/>
          <w:rtl/>
        </w:rPr>
        <w:t xml:space="preserve">. </w:t>
      </w:r>
      <w:r>
        <w:rPr>
          <w:rFonts w:ascii="David" w:hAnsi="David" w:cs="David"/>
          <w:sz w:val="24"/>
          <w:szCs w:val="24"/>
          <w:rtl/>
        </w:rPr>
        <w:t>עוד נוסיף בהקשר זה כי הוראת סע' 13 לחוק איסור לשון הרע אינה נושאת עימה דרישה ליסוד נפשי והיא חלה ללא סייג, עוד נקבע לנו כי "</w:t>
      </w:r>
      <w:r>
        <w:rPr>
          <w:rFonts w:ascii="Miriam" w:hAnsi="Miriam" w:cs="Miriam"/>
          <w:sz w:val="24"/>
          <w:szCs w:val="24"/>
          <w:rtl/>
        </w:rPr>
        <w:t>סעיף 13, בניגוד לסעיפי הגנות השכנים (סעיפים 14 ו-15), אינו מותנה בדרישה של אמיתות הפרסום או בדרישה של תום לב</w:t>
      </w:r>
      <w:r>
        <w:rPr>
          <w:rFonts w:ascii="David" w:hAnsi="David" w:cs="David"/>
          <w:sz w:val="24"/>
          <w:szCs w:val="24"/>
          <w:rtl/>
        </w:rPr>
        <w:t xml:space="preserve">" [רע"א 3614/97 </w:t>
      </w:r>
      <w:r>
        <w:rPr>
          <w:rFonts w:ascii="David" w:hAnsi="David" w:cs="David"/>
          <w:b/>
          <w:bCs/>
          <w:sz w:val="24"/>
          <w:szCs w:val="24"/>
          <w:rtl/>
        </w:rPr>
        <w:t>אבי יצחק נ' חברת החדשות הישראלית,</w:t>
      </w:r>
      <w:r>
        <w:rPr>
          <w:rFonts w:ascii="David" w:hAnsi="David" w:cs="David"/>
          <w:sz w:val="24"/>
          <w:szCs w:val="24"/>
          <w:rtl/>
        </w:rPr>
        <w:t xml:space="preserve"> פ"ד נג(1) 26, עמ' 67-66]. יתר על כן, וכך משמיענו השופט ריבלין: "</w:t>
      </w:r>
      <w:r>
        <w:rPr>
          <w:rFonts w:ascii="Miriam" w:hAnsi="Miriam" w:cs="Miriam"/>
          <w:sz w:val="24"/>
          <w:szCs w:val="24"/>
          <w:rtl/>
        </w:rPr>
        <w:t>משמעות הדבר היא שגם פרסום כוזב, שנעשה שלא בתום-לב (ואף בזדון), לא יהווה עילה למשפט פלילי או אזרחי, ובלבד שמתקיימים התנאים הקבועים בסעיף המשנה הרלבנטי</w:t>
      </w:r>
      <w:r>
        <w:rPr>
          <w:rtl/>
        </w:rPr>
        <w:t xml:space="preserve">" </w:t>
      </w:r>
      <w:r>
        <w:rPr>
          <w:rFonts w:ascii="David" w:hAnsi="David" w:cs="David"/>
          <w:sz w:val="24"/>
          <w:szCs w:val="24"/>
          <w:rtl/>
        </w:rPr>
        <w:t xml:space="preserve">[רע"א 1104/07 </w:t>
      </w:r>
      <w:r>
        <w:rPr>
          <w:rFonts w:ascii="David" w:hAnsi="David" w:cs="David"/>
          <w:b/>
          <w:bCs/>
          <w:sz w:val="24"/>
          <w:szCs w:val="24"/>
          <w:rtl/>
        </w:rPr>
        <w:t xml:space="preserve">עו"ד פואד חיר נ' עו"ד עודד גיל, </w:t>
      </w:r>
      <w:r>
        <w:rPr>
          <w:rFonts w:ascii="David" w:hAnsi="David" w:cs="David"/>
          <w:sz w:val="24"/>
          <w:szCs w:val="24"/>
          <w:rtl/>
        </w:rPr>
        <w:t xml:space="preserve">פ"ד סג(2) 511, עמ' 520 (להלן: </w:t>
      </w:r>
      <w:r>
        <w:rPr>
          <w:rFonts w:ascii="David" w:hAnsi="David" w:cs="David"/>
          <w:b/>
          <w:bCs/>
          <w:sz w:val="24"/>
          <w:szCs w:val="24"/>
          <w:rtl/>
        </w:rPr>
        <w:t>"הלכת חיר"</w:t>
      </w:r>
      <w:r>
        <w:rPr>
          <w:rFonts w:ascii="David" w:hAnsi="David" w:cs="David"/>
          <w:sz w:val="24"/>
          <w:szCs w:val="24"/>
          <w:rtl/>
        </w:rPr>
        <w:t xml:space="preserve">)]. ויפים בהקשר דבריו של השופט דנציגר שסיכם את הדברים באופן הבא: </w:t>
      </w:r>
      <w:r>
        <w:rPr>
          <w:rFonts w:ascii="Miriam" w:hAnsi="Miriam" w:cs="Miriam"/>
          <w:sz w:val="24"/>
          <w:szCs w:val="24"/>
          <w:rtl/>
        </w:rPr>
        <w:t>"סע' 13 לחוק איסור לשון הרע קובע מהם "פרסומים מותרים". בסעיף זה העניק המחוקק משקל מכריע לשיקולים כלליים-ציבוריים. אדם המפרסם לשון הרע בנסיבות סע' 13 לחוק ייהנה מהגנה גם אם הפרסום היה כוזב וגם אם פעל בזדון או בחוסר תום לב. כמו כן, ההגנה אינה תלויה במידת העניין הציבורי שיש בפרסום. מסיבה זו, זכו ההיתרים שבסעיף 13 להיקרא "ההגנות המוחלטות"</w:t>
      </w:r>
      <w:r>
        <w:rPr>
          <w:rFonts w:ascii="David" w:hAnsi="David" w:cs="David"/>
          <w:sz w:val="24"/>
          <w:szCs w:val="24"/>
          <w:rtl/>
        </w:rPr>
        <w:t xml:space="preserve"> [ע"א 844/12 </w:t>
      </w:r>
      <w:r>
        <w:rPr>
          <w:rFonts w:ascii="David" w:hAnsi="David" w:cs="David"/>
          <w:b/>
          <w:bCs/>
          <w:sz w:val="24"/>
          <w:szCs w:val="24"/>
          <w:rtl/>
        </w:rPr>
        <w:t xml:space="preserve">דניאל מולקנדוב נ' שרה פורוש, </w:t>
      </w:r>
      <w:r>
        <w:rPr>
          <w:rFonts w:ascii="David" w:hAnsi="David" w:cs="David"/>
          <w:sz w:val="24"/>
          <w:szCs w:val="24"/>
          <w:rtl/>
        </w:rPr>
        <w:t xml:space="preserve">(נבו, 22.2.2017) פסקה 47; ראו גם ע"א 211/82 </w:t>
      </w:r>
      <w:r>
        <w:rPr>
          <w:rFonts w:ascii="David" w:hAnsi="David" w:cs="David"/>
          <w:b/>
          <w:bCs/>
          <w:sz w:val="24"/>
          <w:szCs w:val="24"/>
          <w:rtl/>
        </w:rPr>
        <w:t>נאנס נ' דר' פלורדו,</w:t>
      </w:r>
      <w:r>
        <w:rPr>
          <w:rFonts w:ascii="David" w:hAnsi="David" w:cs="David"/>
          <w:sz w:val="24"/>
          <w:szCs w:val="24"/>
          <w:rtl/>
        </w:rPr>
        <w:t xml:space="preserve"> פ"ד מ(1) 210]. הנה כי כן צא ולמד עד כמה רחבה תחולתה של </w:t>
      </w:r>
      <w:r>
        <w:rPr>
          <w:rFonts w:ascii="David" w:hAnsi="David" w:cs="David"/>
          <w:sz w:val="24"/>
          <w:szCs w:val="24"/>
          <w:rtl/>
        </w:rPr>
        <w:lastRenderedPageBreak/>
        <w:t xml:space="preserve">ההגנה הקבועה בסע' 13 שזו תחול גם מקו שמדובר בפרסום כוזב, וגם אם הדברים נאמרו בזדון ובכוונת מכוון. כאשר ההגנה כלל אינה נשענת או מושתת על הסטנדרט של מידת העניין הציבורי שיש בפרסום. </w:t>
      </w:r>
    </w:p>
    <w:p w:rsidR="00E543B0" w:rsidP="00E543B0" w:rsidRDefault="00E543B0">
      <w:pPr>
        <w:pStyle w:val="10"/>
        <w:spacing w:after="0" w:line="360" w:lineRule="auto"/>
        <w:jc w:val="both"/>
        <w:rPr>
          <w:rFonts w:ascii="David" w:hAnsi="David" w:cs="David"/>
          <w:sz w:val="24"/>
          <w:szCs w:val="24"/>
          <w:rtl/>
        </w:rPr>
      </w:pPr>
    </w:p>
    <w:p w:rsidR="00E543B0" w:rsidP="00E543B0" w:rsidRDefault="00E543B0">
      <w:pPr>
        <w:pStyle w:val="10"/>
        <w:numPr>
          <w:ilvl w:val="0"/>
          <w:numId w:val="1"/>
        </w:numPr>
        <w:spacing w:after="0" w:line="360" w:lineRule="auto"/>
        <w:jc w:val="both"/>
        <w:rPr>
          <w:rFonts w:ascii="David" w:hAnsi="David" w:cs="David"/>
          <w:sz w:val="24"/>
          <w:szCs w:val="24"/>
          <w:rtl/>
        </w:rPr>
      </w:pPr>
      <w:r>
        <w:rPr>
          <w:rFonts w:ascii="David" w:hAnsi="David" w:cs="David"/>
          <w:sz w:val="24"/>
          <w:szCs w:val="24"/>
          <w:rtl/>
        </w:rPr>
        <w:t xml:space="preserve">אם נבקש לצלול אל סע' 13 לחוק איסור לשון הרע הרי שהמבקש לחסות תחת ההגנה של פרסום מותר ולזכות בחסינות המוענקת על ידי סע' 13 צריך להצביע על חלופה אחת לפחות. במקרה דנן מבקש הנתבע לחסות בחסינות הקבועה בסע' 13(5) לחוק איסור לשון הרע הקובעת: </w:t>
      </w:r>
    </w:p>
    <w:p w:rsidR="00E543B0" w:rsidP="00E543B0" w:rsidRDefault="00E543B0">
      <w:pPr>
        <w:pStyle w:val="10"/>
        <w:rPr>
          <w:rFonts w:ascii="Arial" w:hAnsi="Arial"/>
          <w:color w:val="000000"/>
          <w:sz w:val="21"/>
          <w:szCs w:val="21"/>
          <w:shd w:val="clear" w:color="auto" w:fill="FFFFFF"/>
        </w:rPr>
      </w:pPr>
    </w:p>
    <w:p w:rsidR="00E543B0" w:rsidP="00E543B0" w:rsidRDefault="00E543B0">
      <w:pPr>
        <w:spacing w:line="360" w:lineRule="auto"/>
        <w:ind w:left="1440"/>
        <w:jc w:val="both"/>
        <w:rPr>
          <w:rFonts w:ascii="Miriam" w:hAnsi="Miriam" w:cs="Miriam"/>
          <w:color w:val="000000"/>
          <w:sz w:val="22"/>
          <w:szCs w:val="22"/>
          <w:shd w:val="clear" w:color="auto" w:fill="FFFFFF"/>
        </w:rPr>
      </w:pPr>
      <w:r>
        <w:rPr>
          <w:rFonts w:ascii="Miriam" w:hAnsi="Miriam" w:cs="Miriam"/>
          <w:color w:val="000000"/>
          <w:shd w:val="clear" w:color="auto" w:fill="FFFFFF"/>
          <w:rtl/>
        </w:rPr>
        <w:t xml:space="preserve">"לא ישמש עילה למשפט פלילי או אזרחי – </w:t>
      </w:r>
    </w:p>
    <w:p w:rsidR="00E543B0" w:rsidP="00E543B0" w:rsidRDefault="00E543B0">
      <w:pPr>
        <w:spacing w:line="360" w:lineRule="auto"/>
        <w:ind w:left="1440"/>
        <w:jc w:val="both"/>
        <w:rPr>
          <w:rFonts w:ascii="Miriam" w:hAnsi="Miriam" w:cs="Miriam"/>
          <w:color w:val="000000"/>
          <w:shd w:val="clear" w:color="auto" w:fill="FFFFFF"/>
          <w:rtl/>
        </w:rPr>
      </w:pPr>
      <w:r>
        <w:rPr>
          <w:rFonts w:ascii="Miriam" w:hAnsi="Miriam" w:cs="Miriam"/>
          <w:color w:val="000000"/>
          <w:shd w:val="clear" w:color="auto" w:fill="FFFFFF"/>
          <w:rtl/>
        </w:rPr>
        <w:t>...</w:t>
      </w:r>
    </w:p>
    <w:p w:rsidR="00E543B0" w:rsidP="00E543B0" w:rsidRDefault="00E543B0">
      <w:pPr>
        <w:spacing w:line="360" w:lineRule="auto"/>
        <w:ind w:left="1440"/>
        <w:jc w:val="both"/>
        <w:rPr>
          <w:rFonts w:ascii="Miriam" w:hAnsi="Miriam" w:cs="Miriam"/>
          <w:sz w:val="32"/>
          <w:szCs w:val="32"/>
          <w:rtl/>
        </w:rPr>
      </w:pPr>
      <w:r>
        <w:rPr>
          <w:rFonts w:ascii="Miriam" w:hAnsi="Miriam" w:cs="Miriam"/>
          <w:color w:val="000000"/>
          <w:shd w:val="clear" w:color="auto" w:fill="FFFFFF"/>
          <w:rtl/>
        </w:rPr>
        <w:t>(5) פרסום על ידי שופט, חבר של בית דין דתי, בורר, או אדם אחר בעל סמכות שיפוטית או מעין-שיפוטית על פי דין, שנעשה תוך כדי דיון בפניהם, או בהחלטתם, או פרסום על ידי בעל דין, בא כוחו של בעל דין או עד, שנעשה תוך כדי דיון כאמור</w:t>
      </w:r>
      <w:r>
        <w:rPr>
          <w:rFonts w:ascii="Miriam" w:hAnsi="Miriam" w:cs="Miriam"/>
          <w:color w:val="000000"/>
          <w:shd w:val="clear" w:color="auto" w:fill="FFFFFF"/>
        </w:rPr>
        <w:t>"</w:t>
      </w:r>
    </w:p>
    <w:p w:rsidR="00E543B0" w:rsidP="00E543B0" w:rsidRDefault="00E543B0">
      <w:pPr>
        <w:pStyle w:val="10"/>
        <w:spacing w:after="0" w:line="360" w:lineRule="auto"/>
        <w:jc w:val="both"/>
        <w:rPr>
          <w:rFonts w:ascii="David" w:hAnsi="David" w:cs="David"/>
          <w:sz w:val="24"/>
          <w:szCs w:val="24"/>
          <w:rtl/>
        </w:rPr>
      </w:pPr>
    </w:p>
    <w:p w:rsidR="00E543B0" w:rsidP="00E543B0" w:rsidRDefault="00E543B0">
      <w:pPr>
        <w:pStyle w:val="10"/>
        <w:spacing w:after="0" w:line="360" w:lineRule="auto"/>
        <w:jc w:val="both"/>
        <w:rPr>
          <w:rFonts w:ascii="David" w:hAnsi="David" w:cs="David"/>
          <w:b/>
          <w:bCs/>
          <w:sz w:val="24"/>
          <w:szCs w:val="24"/>
          <w:rtl/>
        </w:rPr>
      </w:pPr>
      <w:r>
        <w:rPr>
          <w:rFonts w:ascii="David" w:hAnsi="David" w:cs="David"/>
          <w:sz w:val="24"/>
          <w:szCs w:val="24"/>
          <w:rtl/>
        </w:rPr>
        <w:t xml:space="preserve">מלשון הסעיף עולה כי שלושה תנאים מצטברים יש לבחון כדי להחיל את הגנה המנויה בסע' 13(5). </w:t>
      </w:r>
      <w:r>
        <w:rPr>
          <w:rFonts w:ascii="Miriam" w:hAnsi="Miriam" w:cs="Miriam"/>
          <w:sz w:val="24"/>
          <w:szCs w:val="24"/>
          <w:rtl/>
        </w:rPr>
        <w:t>תנאי ראשון</w:t>
      </w:r>
      <w:r>
        <w:rPr>
          <w:rFonts w:ascii="David" w:hAnsi="David" w:cs="David"/>
          <w:sz w:val="24"/>
          <w:szCs w:val="24"/>
          <w:rtl/>
        </w:rPr>
        <w:t xml:space="preserve"> – זהות המפרסם – שופט, בורר, חבר בית דין דתי, בעל סמכות שיפוטית או מעין שיפוטית על פי דין, בעל דין, בא כוחו, עד. </w:t>
      </w:r>
      <w:r>
        <w:rPr>
          <w:rFonts w:ascii="Miriam" w:hAnsi="Miriam" w:cs="Miriam"/>
          <w:sz w:val="24"/>
          <w:szCs w:val="24"/>
          <w:rtl/>
        </w:rPr>
        <w:t>תנאי שני</w:t>
      </w:r>
      <w:r>
        <w:rPr>
          <w:rFonts w:ascii="David" w:hAnsi="David" w:cs="David"/>
          <w:sz w:val="24"/>
          <w:szCs w:val="24"/>
          <w:rtl/>
        </w:rPr>
        <w:t xml:space="preserve"> – הפרסום יעשה על ידי צד למשפט או מי שהוא חלק ממנו. </w:t>
      </w:r>
      <w:r>
        <w:rPr>
          <w:rFonts w:ascii="Miriam" w:hAnsi="Miriam" w:cs="Miriam"/>
          <w:sz w:val="24"/>
          <w:szCs w:val="24"/>
          <w:rtl/>
        </w:rPr>
        <w:t>תנאי שלישי</w:t>
      </w:r>
      <w:r>
        <w:rPr>
          <w:rFonts w:ascii="David" w:hAnsi="David" w:cs="David"/>
          <w:sz w:val="24"/>
          <w:szCs w:val="24"/>
          <w:rtl/>
        </w:rPr>
        <w:t xml:space="preserve"> – הפרסום צריך להיעשות תוך כדי דיון. </w:t>
      </w:r>
    </w:p>
    <w:p w:rsidR="00E543B0" w:rsidP="00E543B0" w:rsidRDefault="00E543B0">
      <w:pPr>
        <w:pStyle w:val="10"/>
        <w:spacing w:after="0" w:line="360" w:lineRule="auto"/>
        <w:jc w:val="both"/>
        <w:rPr>
          <w:rFonts w:ascii="David" w:hAnsi="David" w:cs="David"/>
          <w:b/>
          <w:bCs/>
          <w:sz w:val="24"/>
          <w:szCs w:val="24"/>
          <w:rtl/>
        </w:rPr>
      </w:pPr>
    </w:p>
    <w:p w:rsidR="00E543B0" w:rsidP="00E543B0" w:rsidRDefault="00E543B0">
      <w:pPr>
        <w:pStyle w:val="10"/>
        <w:numPr>
          <w:ilvl w:val="0"/>
          <w:numId w:val="1"/>
        </w:numPr>
        <w:spacing w:after="0" w:line="360" w:lineRule="auto"/>
        <w:jc w:val="both"/>
        <w:rPr>
          <w:rFonts w:ascii="David" w:hAnsi="David" w:cs="David"/>
          <w:sz w:val="24"/>
          <w:szCs w:val="24"/>
          <w:rtl/>
        </w:rPr>
      </w:pPr>
      <w:r>
        <w:rPr>
          <w:rFonts w:ascii="David" w:hAnsi="David" w:cs="David"/>
          <w:sz w:val="24"/>
          <w:szCs w:val="24"/>
          <w:rtl/>
        </w:rPr>
        <w:t xml:space="preserve">על הרציונל העומד בבסיס ההגנה ניתן לקרוא </w:t>
      </w:r>
      <w:r>
        <w:rPr>
          <w:rFonts w:ascii="David" w:hAnsi="David" w:cs="David"/>
          <w:b/>
          <w:bCs/>
          <w:sz w:val="24"/>
          <w:szCs w:val="24"/>
          <w:rtl/>
        </w:rPr>
        <w:t>בהלכת חיר</w:t>
      </w:r>
      <w:r>
        <w:rPr>
          <w:rFonts w:ascii="David" w:hAnsi="David" w:cs="David"/>
          <w:sz w:val="24"/>
          <w:szCs w:val="24"/>
          <w:rtl/>
        </w:rPr>
        <w:t xml:space="preserve"> המשמיעה לנו:</w:t>
      </w:r>
      <w:r>
        <w:rPr>
          <w:rFonts w:ascii="David" w:hAnsi="David" w:cs="David"/>
          <w:sz w:val="24"/>
          <w:szCs w:val="24"/>
        </w:rPr>
        <w:t xml:space="preserve"> </w:t>
      </w:r>
      <w:r>
        <w:rPr>
          <w:rFonts w:ascii="Miriam" w:hAnsi="Miriam" w:cs="Miriam"/>
          <w:sz w:val="24"/>
          <w:szCs w:val="24"/>
          <w:rtl/>
        </w:rPr>
        <w:t>"יש לזכור כי הליכים משפטיים רבים כרוכים מטבע הדברים בהשמעת דברים לא נעימים לאוזן מצד בית המשפט כלפי המעורבים בהליך, ומצד המעורבים בהליך האחד כלפי השני. בוודאי טוב הדבר שההתבטאויות במסגרת הליך משפטי יהיו מתונות ומתוחמות ככל האפשר, במיוחד אם יש בדברים משום חשש ללשון הרע. אולם התפיסה המשתקפת בחוק איסור לשון הרע היא שאין להגביל את ההתבטאויות תוך כדי ההליך המשפטי באמצעות חוק זה. המטרה היא למנוע מצב שבו הגורמים המעורבים בהליך ירסנו את עצמם יתר על המידה באופן שיחבל בתקינות ההליך...לאור חשיבותה של ההגנה נקבע כי ההגנה שבסע' 13(5) תחול לא רק על דברים שנאמרים באולם המשפט אלא היא חלה על "כל צעד הננקט בקשר עם ההליך בכל שלב משלביו השונים, לרבות כל פניה בכתב ומסמך הנדרש במהלך הרגיל של המשפט והמשמשו כהלכה"</w:t>
      </w:r>
      <w:r>
        <w:rPr>
          <w:rFonts w:ascii="David" w:hAnsi="David" w:cs="David"/>
          <w:sz w:val="24"/>
          <w:szCs w:val="24"/>
          <w:rtl/>
        </w:rPr>
        <w:t xml:space="preserve"> [הלכת חיר, עמ' 521]</w:t>
      </w:r>
    </w:p>
    <w:p w:rsidR="00E543B0" w:rsidP="00E543B0" w:rsidRDefault="00E543B0">
      <w:pPr>
        <w:spacing w:line="360" w:lineRule="auto"/>
        <w:ind w:left="360"/>
        <w:jc w:val="both"/>
        <w:rPr>
          <w:rFonts w:ascii="David" w:hAnsi="David" w:cstheme="minorBidi"/>
          <w:sz w:val="22"/>
          <w:szCs w:val="22"/>
          <w:rtl/>
        </w:rPr>
      </w:pPr>
    </w:p>
    <w:p w:rsidR="00E543B0" w:rsidP="00E543B0" w:rsidRDefault="00E543B0">
      <w:pPr>
        <w:pStyle w:val="10"/>
        <w:numPr>
          <w:ilvl w:val="0"/>
          <w:numId w:val="1"/>
        </w:numPr>
        <w:spacing w:after="0" w:line="360" w:lineRule="auto"/>
        <w:jc w:val="both"/>
        <w:rPr>
          <w:rFonts w:ascii="David" w:hAnsi="David" w:cs="David"/>
          <w:sz w:val="24"/>
          <w:szCs w:val="24"/>
        </w:rPr>
      </w:pPr>
      <w:r>
        <w:rPr>
          <w:rFonts w:ascii="David" w:hAnsi="David" w:cs="David"/>
          <w:sz w:val="24"/>
          <w:szCs w:val="24"/>
          <w:rtl/>
        </w:rPr>
        <w:lastRenderedPageBreak/>
        <w:t xml:space="preserve">תחולתו של סע' 13(5) לחוק איסור לשון הרע חלה על נושאי משרה שיפוטית או מעין שיפוטית על פי דין, אך לא רק, ותחולתו סוככת גם על בעלי דין, באי כוח הצדדים בהליך, או עדים. מכאן שכדי שתחולת ההגנה הקבועה בסע' 13 תחול יש צורך להימנות על אחת מהקטגוריות שהסעיף פורס מצודתו עליהן - במקרה דנן מדובר בלשון הרע שאמר הנתבע בהליך שיפוטי אל מול התובעת שהיתה צד לאותו התיק. </w:t>
      </w:r>
    </w:p>
    <w:p w:rsidR="00E543B0" w:rsidP="00E543B0" w:rsidRDefault="00E543B0">
      <w:pPr>
        <w:pStyle w:val="10"/>
        <w:spacing w:after="0" w:line="360" w:lineRule="auto"/>
        <w:jc w:val="both"/>
        <w:rPr>
          <w:rFonts w:ascii="David" w:hAnsi="David" w:cs="David"/>
          <w:sz w:val="24"/>
          <w:szCs w:val="24"/>
        </w:rPr>
      </w:pPr>
    </w:p>
    <w:p w:rsidR="00E543B0" w:rsidP="00E543B0" w:rsidRDefault="00E543B0">
      <w:pPr>
        <w:pStyle w:val="10"/>
        <w:numPr>
          <w:ilvl w:val="0"/>
          <w:numId w:val="1"/>
        </w:numPr>
        <w:spacing w:after="0" w:line="360" w:lineRule="auto"/>
        <w:jc w:val="both"/>
        <w:rPr>
          <w:rFonts w:ascii="David" w:hAnsi="David" w:cs="David"/>
          <w:sz w:val="24"/>
          <w:szCs w:val="24"/>
        </w:rPr>
      </w:pPr>
      <w:r>
        <w:rPr>
          <w:rFonts w:ascii="David" w:hAnsi="David" w:cs="David"/>
          <w:sz w:val="24"/>
          <w:szCs w:val="24"/>
          <w:rtl/>
        </w:rPr>
        <w:t xml:space="preserve">בהקשר זה ראוי לציין את הסתייגותו של השופט אליקים רובינשטיין </w:t>
      </w:r>
      <w:r>
        <w:rPr>
          <w:rFonts w:ascii="David" w:hAnsi="David" w:cs="David"/>
          <w:b/>
          <w:bCs/>
          <w:sz w:val="24"/>
          <w:szCs w:val="24"/>
          <w:rtl/>
        </w:rPr>
        <w:t>בהלכת חיר</w:t>
      </w:r>
      <w:r>
        <w:rPr>
          <w:rFonts w:ascii="David" w:hAnsi="David" w:cs="David"/>
          <w:sz w:val="24"/>
          <w:szCs w:val="24"/>
          <w:rtl/>
        </w:rPr>
        <w:t xml:space="preserve"> באומרו </w:t>
      </w:r>
      <w:r>
        <w:rPr>
          <w:rFonts w:ascii="Miriam" w:hAnsi="Miriam" w:cs="Miriam"/>
          <w:sz w:val="24"/>
          <w:szCs w:val="24"/>
          <w:rtl/>
        </w:rPr>
        <w:t>"אין להלום מצב שבו יתעמר אדם בלשונו בזולת ככל העולה על רוחו, והכל יהא מותר כיון שמצוי הוא בין כתלי בית המשפט או בכתבי בי דין. אין בית המשפט יכול לדידי להיות מקום "אקסטריטוריאלי" ללשון הרע, בחינת אי בודד או בועה,  ואינני סבור כי את כוונת המחוקק יש לפרש כהיתר אבסולוטי  לכל הנאמר באולם בית המשפט, כל אשר יעלה המזלג, כל אשר יעלה על הדעת; האם "כסדום היינו, לעמורה דמינו"?</w:t>
      </w:r>
      <w:r>
        <w:rPr>
          <w:rFonts w:ascii="David" w:hAnsi="David" w:cs="David"/>
          <w:sz w:val="24"/>
          <w:szCs w:val="24"/>
          <w:rtl/>
        </w:rPr>
        <w:t xml:space="preserve"> [</w:t>
      </w:r>
      <w:r>
        <w:rPr>
          <w:rFonts w:ascii="David" w:hAnsi="David" w:cs="David"/>
          <w:b/>
          <w:bCs/>
          <w:sz w:val="24"/>
          <w:szCs w:val="24"/>
          <w:rtl/>
        </w:rPr>
        <w:t>הלכת חיר</w:t>
      </w:r>
      <w:r>
        <w:rPr>
          <w:rFonts w:ascii="David" w:hAnsi="David" w:cs="David"/>
          <w:sz w:val="24"/>
          <w:szCs w:val="24"/>
          <w:rtl/>
        </w:rPr>
        <w:t>, פסקה יז]. יהיו מקרים משמיענו השופט רובינשטיין בהמשך: "</w:t>
      </w:r>
      <w:r>
        <w:rPr>
          <w:rFonts w:ascii="Miriam" w:hAnsi="Miriam" w:cs="Miriam"/>
          <w:sz w:val="24"/>
          <w:szCs w:val="24"/>
          <w:rtl/>
        </w:rPr>
        <w:t>עדיין יתכנו מקרים ולו גם חריגים ויוצאי דופן, שבהם לא יכול פרקליט או בעל דין להסתתר מאחורי החיסוי...הדעת אינה סובלת שתובע או נתבע יוכל לכתוב דברי נאצה על יריבו...ללא חשש מפני חיוב בפיצויים על פי חוק איסור לשון הרע</w:t>
      </w:r>
      <w:r>
        <w:rPr>
          <w:rFonts w:ascii="David" w:hAnsi="David" w:cs="David"/>
          <w:sz w:val="24"/>
          <w:szCs w:val="24"/>
          <w:rtl/>
        </w:rPr>
        <w:t>" [</w:t>
      </w:r>
      <w:r>
        <w:rPr>
          <w:rFonts w:ascii="David" w:hAnsi="David" w:cs="David"/>
          <w:b/>
          <w:bCs/>
          <w:sz w:val="24"/>
          <w:szCs w:val="24"/>
          <w:rtl/>
        </w:rPr>
        <w:t>הלכת חיר,</w:t>
      </w:r>
      <w:r>
        <w:rPr>
          <w:rFonts w:ascii="David" w:hAnsi="David" w:cs="David"/>
          <w:sz w:val="24"/>
          <w:szCs w:val="24"/>
          <w:rtl/>
        </w:rPr>
        <w:t xml:space="preserve"> פסקה כ] את דבריו חותם השופט רובינשטיין בקביעתו: "יש לפרש את סע' 13(5)</w:t>
      </w:r>
      <w:r>
        <w:rPr>
          <w:rFonts w:ascii="David" w:hAnsi="David" w:cs="David"/>
          <w:sz w:val="24"/>
          <w:szCs w:val="24"/>
        </w:rPr>
        <w:t xml:space="preserve"> </w:t>
      </w:r>
      <w:r>
        <w:rPr>
          <w:rFonts w:ascii="David" w:hAnsi="David" w:cs="David"/>
          <w:sz w:val="24"/>
          <w:szCs w:val="24"/>
          <w:rtl/>
        </w:rPr>
        <w:t>כמקנה היתר רחב אך לא היתר מוחלט, וכי התבטאות שלהערכת בית המשפט, מעבר לאי היותה אמת בידיעת האומר, יש בה רשעות או זדון – אינה חוסה בצלו של ההיתר. המבחן הוא אפוא לשון הרע שיש בו מרכיב של רשעות או זדון" [</w:t>
      </w:r>
      <w:r>
        <w:rPr>
          <w:rFonts w:ascii="David" w:hAnsi="David" w:cs="David"/>
          <w:b/>
          <w:bCs/>
          <w:sz w:val="24"/>
          <w:szCs w:val="24"/>
          <w:rtl/>
        </w:rPr>
        <w:t>הלכת חיר</w:t>
      </w:r>
      <w:r>
        <w:rPr>
          <w:rFonts w:ascii="David" w:hAnsi="David" w:cs="David"/>
          <w:sz w:val="24"/>
          <w:szCs w:val="24"/>
          <w:rtl/>
        </w:rPr>
        <w:t>, פסקה לט].</w:t>
      </w:r>
    </w:p>
    <w:p w:rsidR="00E543B0" w:rsidP="00E543B0" w:rsidRDefault="00E543B0">
      <w:pPr>
        <w:pStyle w:val="10"/>
        <w:rPr>
          <w:rFonts w:ascii="David" w:hAnsi="David" w:cs="David"/>
          <w:sz w:val="24"/>
          <w:szCs w:val="24"/>
          <w:rtl/>
        </w:rPr>
      </w:pPr>
    </w:p>
    <w:p w:rsidR="00E543B0" w:rsidP="00E543B0" w:rsidRDefault="00E543B0">
      <w:pPr>
        <w:pStyle w:val="10"/>
        <w:numPr>
          <w:ilvl w:val="0"/>
          <w:numId w:val="1"/>
        </w:numPr>
        <w:spacing w:after="0" w:line="360" w:lineRule="auto"/>
        <w:jc w:val="both"/>
        <w:rPr>
          <w:rFonts w:ascii="David" w:hAnsi="David" w:cs="David"/>
          <w:sz w:val="24"/>
          <w:szCs w:val="24"/>
        </w:rPr>
      </w:pPr>
      <w:r>
        <w:rPr>
          <w:rFonts w:ascii="David" w:hAnsi="David" w:cs="David"/>
          <w:sz w:val="24"/>
          <w:szCs w:val="24"/>
          <w:rtl/>
        </w:rPr>
        <w:t xml:space="preserve">בדעת מיעוט הניח לנו השופט רובינשטיין עמדה ולפיה את סע' 13(5) לחוק איסור לשון הרע יש לפרש באופן שאין לראותו כמעניק למוציא שם רע היתר מוחלט, אלא היתר רחב. ומכאן גם שדברים שבית המשפט מוצא אותם שאינם אמת ואלו נאמרו מתוך רשעות או זדון יוחרגו מהגנת הסעיף. ולמה נזקקנו לדברי המיעוט, משום גישת חז"ל שמלמדת: </w:t>
      </w:r>
      <w:r>
        <w:rPr>
          <w:rFonts w:ascii="Miriam" w:hAnsi="Miriam" w:cs="Miriam"/>
          <w:sz w:val="24"/>
          <w:szCs w:val="24"/>
          <w:rtl/>
        </w:rPr>
        <w:t xml:space="preserve">"לא הוזכרו דברי היחיד בין המרובים אלא שמא תצטרך להן השעה ויסמכו עליהם" </w:t>
      </w:r>
      <w:r>
        <w:rPr>
          <w:rFonts w:ascii="David" w:hAnsi="David" w:cs="David"/>
          <w:sz w:val="24"/>
          <w:szCs w:val="24"/>
          <w:rtl/>
        </w:rPr>
        <w:t>[</w:t>
      </w:r>
      <w:r>
        <w:rPr>
          <w:rFonts w:ascii="David" w:hAnsi="David" w:cs="David"/>
          <w:b/>
          <w:bCs/>
          <w:sz w:val="24"/>
          <w:szCs w:val="24"/>
          <w:rtl/>
        </w:rPr>
        <w:t>תוספתא עדויות</w:t>
      </w:r>
      <w:r>
        <w:rPr>
          <w:rFonts w:ascii="David" w:hAnsi="David" w:cs="David"/>
          <w:sz w:val="24"/>
          <w:szCs w:val="24"/>
          <w:rtl/>
        </w:rPr>
        <w:t xml:space="preserve"> פרק א, משנה ד]. משכך ראוי הוא לתחום את גבולותיה של ההגנה המעוגנת בסע' 13(5) לחוק איסור לשון הרע, ולו מהטעם שהליכי בית המשפט לא לביזיון האדם ניתנו, זכות הגישה לערכאות אינה מתירה באופן גורף את חופש הביזוי והשיסוי והליכים משפטיים אינם קרקע להתבטאויות חסרות רסן. </w:t>
      </w:r>
    </w:p>
    <w:p w:rsidR="00E543B0" w:rsidP="00E543B0" w:rsidRDefault="00E543B0">
      <w:pPr>
        <w:pStyle w:val="ad"/>
        <w:rPr>
          <w:rFonts w:ascii="David" w:hAnsi="David" w:cs="David"/>
          <w:sz w:val="24"/>
          <w:szCs w:val="24"/>
        </w:rPr>
      </w:pPr>
    </w:p>
    <w:p w:rsidR="00E543B0" w:rsidP="00E543B0" w:rsidRDefault="00E543B0">
      <w:pPr>
        <w:pStyle w:val="10"/>
        <w:numPr>
          <w:ilvl w:val="0"/>
          <w:numId w:val="1"/>
        </w:numPr>
        <w:spacing w:after="0" w:line="360" w:lineRule="auto"/>
        <w:jc w:val="both"/>
        <w:rPr>
          <w:rFonts w:ascii="David" w:hAnsi="David" w:cs="David"/>
          <w:sz w:val="24"/>
          <w:szCs w:val="24"/>
          <w:rtl/>
        </w:rPr>
      </w:pPr>
      <w:r>
        <w:rPr>
          <w:rFonts w:ascii="David" w:hAnsi="David" w:cs="David"/>
          <w:sz w:val="24"/>
          <w:szCs w:val="24"/>
          <w:rtl/>
        </w:rPr>
        <w:t xml:space="preserve">אם נבקש להמחיש את הדברים הרי שיש לתהות האם בעידן הדיגיטלי בו הכל עולה למרשתת וכל כתב טענות נושא את הפוטנציאל שהוא ימצא דרכו לכל אתר ואתר [ראו: יצחק זמיר, "חופש הביטוי באינטרנט'' </w:t>
      </w:r>
      <w:r>
        <w:rPr>
          <w:rFonts w:ascii="David" w:hAnsi="David" w:cs="David"/>
          <w:b/>
          <w:bCs/>
          <w:sz w:val="24"/>
          <w:szCs w:val="24"/>
          <w:rtl/>
        </w:rPr>
        <w:t>משפט וממשל</w:t>
      </w:r>
      <w:r>
        <w:rPr>
          <w:rFonts w:ascii="David" w:hAnsi="David" w:cs="David"/>
          <w:sz w:val="24"/>
          <w:szCs w:val="24"/>
          <w:rtl/>
        </w:rPr>
        <w:t xml:space="preserve"> נו(2) 353 (2003)], האם נוכל לשאת את האפשרות שאדם כדי לפגוע בחברו יהיה רשאי להגיש תביעה כנגד אדם שכל כולה </w:t>
      </w:r>
      <w:r>
        <w:rPr>
          <w:rFonts w:ascii="David" w:hAnsi="David" w:cs="David"/>
          <w:sz w:val="24"/>
          <w:szCs w:val="24"/>
          <w:rtl/>
        </w:rPr>
        <w:lastRenderedPageBreak/>
        <w:t>השמצות, ביזוי, שיסוי ולשון הרע, תוך שהמפרסם מנצל את ההגנה הקבועה בסע' 13(5)</w:t>
      </w:r>
      <w:r>
        <w:rPr>
          <w:rFonts w:ascii="David" w:hAnsi="David" w:cs="David"/>
          <w:sz w:val="24"/>
          <w:szCs w:val="24"/>
        </w:rPr>
        <w:t xml:space="preserve"> </w:t>
      </w:r>
      <w:r>
        <w:rPr>
          <w:rFonts w:ascii="David" w:hAnsi="David" w:cs="David"/>
          <w:sz w:val="24"/>
          <w:szCs w:val="24"/>
          <w:rtl/>
        </w:rPr>
        <w:t xml:space="preserve"> לחוק איסור לשון הרע. כאשר בהמשך ועוד בטרם יגיש הנתבע את כתב הגנתו התובע ימחק את התביעה. האם גם במקרה כזה נפטור את מוציא הלשון הרע רק מהטעם שכדי להכשיר את דברי הרע על הזולת הוא עטף אותם באצטלה של כתב תביעה שלמרות מחיקתה בהמשך תישאר תלויה ועומדת לדיראון עולם לעד. האם נוכל להתיר את האפשרות שאדם יעשה שימשו לרעה בהליכי משפט, כדי להשיא תועלת אחרת, כדי לפגוע בשמו הטוב של האחר, כדי להתנקם? דומה שהתשובה לתהיות אלו היא לא רבתי. שהרי לו זו תכלית חוק איסור לשון הרע וההגנה שסע' 13(5)</w:t>
      </w:r>
      <w:r>
        <w:rPr>
          <w:rFonts w:ascii="David" w:hAnsi="David" w:cs="David"/>
          <w:sz w:val="24"/>
          <w:szCs w:val="24"/>
        </w:rPr>
        <w:t xml:space="preserve"> </w:t>
      </w:r>
      <w:r>
        <w:rPr>
          <w:rFonts w:ascii="David" w:hAnsi="David" w:cs="David"/>
          <w:sz w:val="24"/>
          <w:szCs w:val="24"/>
          <w:rtl/>
        </w:rPr>
        <w:t xml:space="preserve">לחוק מקפלת. בהקשר זה יהיה ראוי ונכון ליישום גישתו של השופט אליקים רובינשטיין. ולפיה לבית המשפט מוענק שיקול דעת לבחון האם לא נעשה בהליך בית המשפט שימוש לרעה אך כדי לפגוע ולהוציא דיבתו רעה של הנתבע [עוד בהקשר של גבולות סע' 13(5) לחוק איסור לשום הרע ראו: חאלד גנאים, מרדכי קרמניצר, בועז שנור, </w:t>
      </w:r>
      <w:r>
        <w:rPr>
          <w:rFonts w:ascii="David" w:hAnsi="David" w:cs="David"/>
          <w:b/>
          <w:bCs/>
          <w:sz w:val="24"/>
          <w:szCs w:val="24"/>
          <w:rtl/>
        </w:rPr>
        <w:t>דיני לשון הרע -</w:t>
      </w:r>
      <w:r>
        <w:rPr>
          <w:rFonts w:ascii="David" w:hAnsi="David" w:cs="David"/>
          <w:sz w:val="24"/>
          <w:szCs w:val="24"/>
          <w:rtl/>
        </w:rPr>
        <w:t xml:space="preserve"> </w:t>
      </w:r>
      <w:r>
        <w:rPr>
          <w:rFonts w:ascii="David" w:hAnsi="David" w:cs="David"/>
          <w:b/>
          <w:bCs/>
          <w:sz w:val="24"/>
          <w:szCs w:val="24"/>
          <w:rtl/>
        </w:rPr>
        <w:t xml:space="preserve"> הדיון המצוי והדין הרצוי, </w:t>
      </w:r>
      <w:r>
        <w:rPr>
          <w:rFonts w:ascii="David" w:hAnsi="David" w:cs="David"/>
          <w:sz w:val="24"/>
          <w:szCs w:val="24"/>
          <w:rtl/>
        </w:rPr>
        <w:t>מהדורה שנייה מורחבת, עמ' 368-374 (2019)].</w:t>
      </w:r>
    </w:p>
    <w:p w:rsidR="00E543B0" w:rsidP="00E543B0" w:rsidRDefault="00E543B0">
      <w:pPr>
        <w:pStyle w:val="10"/>
        <w:rPr>
          <w:rFonts w:ascii="David" w:hAnsi="David" w:cs="David"/>
          <w:sz w:val="24"/>
          <w:szCs w:val="24"/>
          <w:rtl/>
        </w:rPr>
      </w:pPr>
    </w:p>
    <w:p w:rsidR="00E543B0" w:rsidP="00E543B0" w:rsidRDefault="00E543B0">
      <w:pPr>
        <w:pStyle w:val="10"/>
        <w:numPr>
          <w:ilvl w:val="0"/>
          <w:numId w:val="1"/>
        </w:numPr>
        <w:spacing w:after="0" w:line="360" w:lineRule="auto"/>
        <w:jc w:val="both"/>
        <w:rPr>
          <w:rFonts w:ascii="David" w:hAnsi="David" w:cs="David"/>
          <w:sz w:val="24"/>
          <w:szCs w:val="24"/>
        </w:rPr>
      </w:pPr>
      <w:r>
        <w:rPr>
          <w:rFonts w:ascii="David" w:hAnsi="David" w:cs="David"/>
          <w:sz w:val="24"/>
          <w:szCs w:val="24"/>
          <w:rtl/>
        </w:rPr>
        <w:t xml:space="preserve">עוד נוסיף ונזכיר שאחד ממקורות ההשראה לפרשנות חוק איסור לשון הרע הוא איסור לשון הרע במשפט העברי [ראו: השופט אליקים רובינשטיין </w:t>
      </w:r>
      <w:r>
        <w:rPr>
          <w:rFonts w:ascii="David" w:hAnsi="David" w:cs="David"/>
          <w:b/>
          <w:bCs/>
          <w:sz w:val="24"/>
          <w:szCs w:val="24"/>
          <w:rtl/>
        </w:rPr>
        <w:t xml:space="preserve">הלכת חיר, </w:t>
      </w:r>
      <w:r>
        <w:rPr>
          <w:rFonts w:ascii="David" w:hAnsi="David" w:cs="David"/>
          <w:sz w:val="24"/>
          <w:szCs w:val="24"/>
          <w:rtl/>
        </w:rPr>
        <w:t>פסקה לג] על תרומת האפשרית של ההלכה היהודית לפרשנות החוק אנו מוצאים אצל הרב יובל שרלו, מראשי רבני 'צהר' וראש ישיבת ההסדר 'אורות שאול', "</w:t>
      </w:r>
      <w:r>
        <w:rPr>
          <w:rFonts w:ascii="Miriam" w:hAnsi="Miriam" w:cs="Miriam"/>
          <w:sz w:val="24"/>
          <w:szCs w:val="24"/>
          <w:rtl/>
        </w:rPr>
        <w:t>קשה למצוא נושא בו תורת ישראל יכולה להשפיע על החברה הישראלית ברגישות ההלכתית לשני צדדי המטבע מאשר נושא לשון הרע</w:t>
      </w:r>
      <w:r>
        <w:rPr>
          <w:rFonts w:ascii="David" w:hAnsi="David" w:cs="David"/>
          <w:sz w:val="24"/>
          <w:szCs w:val="24"/>
          <w:rtl/>
        </w:rPr>
        <w:t xml:space="preserve">" [הרב יובל שרלו, </w:t>
      </w:r>
      <w:r>
        <w:rPr>
          <w:rFonts w:ascii="David" w:hAnsi="David" w:cs="David"/>
          <w:b/>
          <w:bCs/>
          <w:sz w:val="24"/>
          <w:szCs w:val="24"/>
          <w:rtl/>
        </w:rPr>
        <w:t>רשו"ת הרבים – תשובות שניתנו באינטרנט בענייני דיבור, אמת ושקר ולשון הרע</w:t>
      </w:r>
      <w:r>
        <w:rPr>
          <w:rFonts w:ascii="David" w:hAnsi="David" w:cs="David"/>
          <w:sz w:val="24"/>
          <w:szCs w:val="24"/>
          <w:rtl/>
        </w:rPr>
        <w:t>", עמ' 246 (2016)].</w:t>
      </w:r>
    </w:p>
    <w:p w:rsidR="00E543B0" w:rsidP="00E543B0" w:rsidRDefault="00E543B0">
      <w:pPr>
        <w:pStyle w:val="ad"/>
        <w:rPr>
          <w:rFonts w:ascii="David" w:hAnsi="David" w:cs="David"/>
          <w:sz w:val="24"/>
          <w:szCs w:val="24"/>
        </w:rPr>
      </w:pPr>
    </w:p>
    <w:p w:rsidR="00E543B0" w:rsidP="00E543B0" w:rsidRDefault="00E543B0">
      <w:pPr>
        <w:pStyle w:val="10"/>
        <w:numPr>
          <w:ilvl w:val="0"/>
          <w:numId w:val="1"/>
        </w:numPr>
        <w:spacing w:after="0" w:line="360" w:lineRule="auto"/>
        <w:jc w:val="both"/>
        <w:rPr>
          <w:rFonts w:ascii="David" w:hAnsi="David" w:cs="David"/>
          <w:sz w:val="24"/>
          <w:szCs w:val="24"/>
          <w:rtl/>
        </w:rPr>
      </w:pPr>
      <w:r>
        <w:rPr>
          <w:rFonts w:ascii="David" w:hAnsi="David" w:cs="David"/>
          <w:sz w:val="24"/>
          <w:szCs w:val="24"/>
          <w:rtl/>
        </w:rPr>
        <w:t xml:space="preserve"> ספרי יסוד רבים בארון הספרים היהודי מוקדשים ל'כח הדיבור' ולגבולות הדיבור. הגדול, המרכזי והמקיף, הוא חיבורו של ר' ישראל מאיר הכהן, מראדין, (בלארוס, המאה ה-19) המניח לנו ספר שמוקדש כולו לנושא 'חפץ חיים ושמירת הלשון'. בהקדמה מסביר החפץ חיים את הסיבות שהניעו אותו לכתוב את הקודקס, ובין טעמיו הוא מונה את שכיחות המציאות הרווחת של אמירת לשון הרע. אמנם מקורות רבים במשפט העברי עסקו בענייני לשון הרע, כך למשל: רמב"ם </w:t>
      </w:r>
      <w:r>
        <w:rPr>
          <w:rFonts w:ascii="David" w:hAnsi="David" w:cs="David"/>
          <w:b/>
          <w:bCs/>
          <w:sz w:val="24"/>
          <w:szCs w:val="24"/>
          <w:rtl/>
        </w:rPr>
        <w:t>משנה תורה</w:t>
      </w:r>
      <w:r>
        <w:rPr>
          <w:rFonts w:ascii="David" w:hAnsi="David" w:cs="David"/>
          <w:sz w:val="24"/>
          <w:szCs w:val="24"/>
          <w:rtl/>
        </w:rPr>
        <w:t xml:space="preserve"> הלכות דעות, פרק ז; ר' יחיאל בן יוקתיאל בן בנימין הרופא, מחכמי רומא במאה ה-13, </w:t>
      </w:r>
      <w:r>
        <w:rPr>
          <w:rFonts w:ascii="David" w:hAnsi="David" w:cs="David"/>
          <w:b/>
          <w:bCs/>
          <w:sz w:val="24"/>
          <w:szCs w:val="24"/>
          <w:rtl/>
        </w:rPr>
        <w:t xml:space="preserve">מעלות המידות, </w:t>
      </w:r>
      <w:r>
        <w:rPr>
          <w:rFonts w:ascii="David" w:hAnsi="David" w:cs="David"/>
          <w:sz w:val="24"/>
          <w:szCs w:val="24"/>
          <w:rtl/>
        </w:rPr>
        <w:t xml:space="preserve">פרק עשרים וארבע; ר' יצחק עראמה, המאה ה-15, </w:t>
      </w:r>
      <w:r>
        <w:rPr>
          <w:rFonts w:ascii="David" w:hAnsi="David" w:cs="David"/>
          <w:b/>
          <w:bCs/>
          <w:sz w:val="24"/>
          <w:szCs w:val="24"/>
          <w:rtl/>
        </w:rPr>
        <w:t>עקדת יצחק – ויקרא</w:t>
      </w:r>
      <w:r>
        <w:rPr>
          <w:rFonts w:ascii="David" w:hAnsi="David" w:cs="David"/>
          <w:sz w:val="24"/>
          <w:szCs w:val="24"/>
          <w:rtl/>
        </w:rPr>
        <w:t xml:space="preserve">, שער ששים ושניים; ר' אליהו די וידאש, המאה ה-16 </w:t>
      </w:r>
      <w:r>
        <w:rPr>
          <w:rFonts w:ascii="David" w:hAnsi="David" w:cs="David"/>
          <w:b/>
          <w:bCs/>
          <w:sz w:val="24"/>
          <w:szCs w:val="24"/>
          <w:rtl/>
        </w:rPr>
        <w:t>ראשית חכמה,</w:t>
      </w:r>
      <w:r>
        <w:rPr>
          <w:rFonts w:ascii="David" w:hAnsi="David" w:cs="David"/>
          <w:sz w:val="24"/>
          <w:szCs w:val="24"/>
          <w:rtl/>
        </w:rPr>
        <w:t xml:space="preserve"> שער הקדושה – פרק יג; הרב יהודה ליוואי (המהר"ל) המאה ה-16 </w:t>
      </w:r>
      <w:r>
        <w:rPr>
          <w:rFonts w:ascii="David" w:hAnsi="David" w:cs="David"/>
          <w:b/>
          <w:bCs/>
          <w:sz w:val="24"/>
          <w:szCs w:val="24"/>
          <w:rtl/>
        </w:rPr>
        <w:t xml:space="preserve">נתיבות עולם – נתיב הלשון; </w:t>
      </w:r>
      <w:r>
        <w:rPr>
          <w:rFonts w:ascii="David" w:hAnsi="David" w:cs="David"/>
          <w:sz w:val="24"/>
          <w:szCs w:val="24"/>
          <w:rtl/>
        </w:rPr>
        <w:t xml:space="preserve">ספר </w:t>
      </w:r>
      <w:r>
        <w:rPr>
          <w:rFonts w:ascii="David" w:hAnsi="David" w:cs="David"/>
          <w:b/>
          <w:bCs/>
          <w:sz w:val="24"/>
          <w:szCs w:val="24"/>
          <w:rtl/>
        </w:rPr>
        <w:t xml:space="preserve">אורחות צדיקים, </w:t>
      </w:r>
      <w:r>
        <w:rPr>
          <w:rFonts w:ascii="David" w:hAnsi="David" w:cs="David"/>
          <w:sz w:val="24"/>
          <w:szCs w:val="24"/>
          <w:rtl/>
        </w:rPr>
        <w:t xml:space="preserve">שער עשרים וחמש – שער לשון הרע ועוד רבים מספרי המוסר מייחדים פרק לנושא אולם חידושו הגדול של החפץ חיים הוא בגיבוש קודקדס מקיף ומפורט בענייני האיסור של לשון הרע. </w:t>
      </w:r>
    </w:p>
    <w:p w:rsidR="00E543B0" w:rsidP="00E543B0" w:rsidRDefault="00E543B0">
      <w:pPr>
        <w:pStyle w:val="10"/>
        <w:rPr>
          <w:rFonts w:ascii="David" w:hAnsi="David" w:cs="David"/>
          <w:sz w:val="24"/>
          <w:szCs w:val="24"/>
          <w:rtl/>
        </w:rPr>
      </w:pPr>
    </w:p>
    <w:p w:rsidR="00E543B0" w:rsidP="00E543B0" w:rsidRDefault="00E543B0">
      <w:pPr>
        <w:pStyle w:val="10"/>
        <w:numPr>
          <w:ilvl w:val="0"/>
          <w:numId w:val="1"/>
        </w:numPr>
        <w:spacing w:after="0" w:line="360" w:lineRule="auto"/>
        <w:jc w:val="both"/>
        <w:rPr>
          <w:rFonts w:ascii="David" w:hAnsi="David" w:cs="David"/>
          <w:sz w:val="24"/>
          <w:szCs w:val="24"/>
        </w:rPr>
      </w:pPr>
      <w:r>
        <w:rPr>
          <w:rFonts w:ascii="David" w:hAnsi="David" w:cs="David"/>
          <w:sz w:val="24"/>
          <w:szCs w:val="24"/>
          <w:rtl/>
        </w:rPr>
        <w:lastRenderedPageBreak/>
        <w:t>נקדים ונזכיר כי אושיותיו של האיסור בדבר הוצאת לשון הרע אינו נחלת העידן המודרני, ואדניו נטועים במורשת המשפט העברי, כך למשל מוצאים אנו הדברים בציווי המקראי "</w:t>
      </w:r>
      <w:r>
        <w:rPr>
          <w:rFonts w:ascii="Miriam" w:hAnsi="Miriam" w:cs="Miriam"/>
          <w:sz w:val="24"/>
          <w:szCs w:val="24"/>
          <w:rtl/>
        </w:rPr>
        <w:t>לֹא תֵלֵךְ רָכִיל בְּעַמֶּיךָ</w:t>
      </w:r>
      <w:r>
        <w:rPr>
          <w:rFonts w:ascii="David" w:hAnsi="David" w:cs="David"/>
          <w:sz w:val="24"/>
          <w:szCs w:val="24"/>
          <w:rtl/>
        </w:rPr>
        <w:t>" [</w:t>
      </w:r>
      <w:r>
        <w:rPr>
          <w:rFonts w:ascii="David" w:hAnsi="David" w:cs="David"/>
          <w:b/>
          <w:bCs/>
          <w:sz w:val="24"/>
          <w:szCs w:val="24"/>
          <w:rtl/>
        </w:rPr>
        <w:t>ויקרא</w:t>
      </w:r>
      <w:r>
        <w:rPr>
          <w:rFonts w:ascii="David" w:hAnsi="David" w:cs="David"/>
          <w:sz w:val="24"/>
          <w:szCs w:val="24"/>
          <w:rtl/>
        </w:rPr>
        <w:t xml:space="preserve"> יט; טז]. כאשר מבקש דוד המלך לשרטט את דמותו של האדם האידיאלי הוא מזכיר בין תכונותיו את האדם שאינו מדבר רעה על חברו, וכך הוא כותב: "</w:t>
      </w:r>
      <w:r>
        <w:rPr>
          <w:rFonts w:ascii="Miriam" w:hAnsi="Miriam" w:cs="Miriam"/>
          <w:sz w:val="24"/>
          <w:szCs w:val="24"/>
          <w:rtl/>
        </w:rPr>
        <w:t>לֹא רָגַל עַל לְשֹׁנוֹ לֹא עָשָׂה לְרֵעֵהוּ רָעָה</w:t>
      </w:r>
      <w:r>
        <w:rPr>
          <w:rFonts w:ascii="David" w:hAnsi="David" w:cs="David"/>
          <w:sz w:val="24"/>
          <w:szCs w:val="24"/>
          <w:rtl/>
        </w:rPr>
        <w:t>" [</w:t>
      </w:r>
      <w:r>
        <w:rPr>
          <w:rFonts w:ascii="David" w:hAnsi="David" w:cs="David"/>
          <w:b/>
          <w:bCs/>
          <w:sz w:val="24"/>
          <w:szCs w:val="24"/>
          <w:rtl/>
        </w:rPr>
        <w:t>תהילים</w:t>
      </w:r>
      <w:r>
        <w:rPr>
          <w:rFonts w:ascii="David" w:hAnsi="David" w:cs="David"/>
          <w:sz w:val="24"/>
          <w:szCs w:val="24"/>
          <w:rtl/>
        </w:rPr>
        <w:t xml:space="preserve"> טו; ג]. על הפסוק בספר משלי "</w:t>
      </w:r>
      <w:r>
        <w:rPr>
          <w:rFonts w:ascii="Miriam" w:hAnsi="Miriam" w:cs="Miriam"/>
          <w:sz w:val="24"/>
          <w:szCs w:val="24"/>
          <w:rtl/>
        </w:rPr>
        <w:t>מות וחיים ביד הלשון</w:t>
      </w:r>
      <w:r>
        <w:rPr>
          <w:rFonts w:ascii="David" w:hAnsi="David" w:cs="David"/>
          <w:sz w:val="24"/>
          <w:szCs w:val="24"/>
          <w:rtl/>
        </w:rPr>
        <w:t>" [</w:t>
      </w:r>
      <w:r>
        <w:rPr>
          <w:rFonts w:ascii="David" w:hAnsi="David" w:cs="David"/>
          <w:b/>
          <w:bCs/>
          <w:sz w:val="24"/>
          <w:szCs w:val="24"/>
          <w:rtl/>
        </w:rPr>
        <w:t>משלי</w:t>
      </w:r>
      <w:r>
        <w:rPr>
          <w:rFonts w:ascii="David" w:hAnsi="David" w:cs="David"/>
          <w:sz w:val="24"/>
          <w:szCs w:val="24"/>
          <w:rtl/>
        </w:rPr>
        <w:t xml:space="preserve"> יח, כא] עומד התלמוד הירושלמי ושואל: "</w:t>
      </w:r>
      <w:r>
        <w:rPr>
          <w:rFonts w:ascii="Miriam" w:hAnsi="Miriam" w:cs="Miriam"/>
          <w:sz w:val="24"/>
          <w:szCs w:val="24"/>
          <w:rtl/>
        </w:rPr>
        <w:t>וכי יש יד ללשון? לומר לך: מה יד ממיתה, אף לשון ממיתה</w:t>
      </w:r>
      <w:r>
        <w:rPr>
          <w:rFonts w:ascii="David" w:hAnsi="David" w:cs="David"/>
          <w:sz w:val="24"/>
          <w:szCs w:val="24"/>
          <w:rtl/>
        </w:rPr>
        <w:t>" [</w:t>
      </w:r>
      <w:r>
        <w:rPr>
          <w:rFonts w:ascii="David" w:hAnsi="David" w:cs="David"/>
          <w:b/>
          <w:bCs/>
          <w:sz w:val="24"/>
          <w:szCs w:val="24"/>
          <w:rtl/>
        </w:rPr>
        <w:t>בבלי ערכין</w:t>
      </w:r>
      <w:r>
        <w:rPr>
          <w:rFonts w:ascii="David" w:hAnsi="David" w:cs="David"/>
          <w:sz w:val="24"/>
          <w:szCs w:val="24"/>
          <w:rtl/>
        </w:rPr>
        <w:t xml:space="preserve">, טו, ע"ב] מסביר התלמוד  והרמב"ם קבע בספרו </w:t>
      </w:r>
      <w:r>
        <w:rPr>
          <w:rFonts w:ascii="David" w:hAnsi="David" w:cs="David"/>
          <w:b/>
          <w:bCs/>
          <w:sz w:val="24"/>
          <w:szCs w:val="24"/>
          <w:rtl/>
        </w:rPr>
        <w:t>'משנה תורה'</w:t>
      </w:r>
      <w:r>
        <w:rPr>
          <w:rFonts w:ascii="David" w:hAnsi="David" w:cs="David"/>
          <w:sz w:val="24"/>
          <w:szCs w:val="24"/>
          <w:rtl/>
        </w:rPr>
        <w:t xml:space="preserve">: </w:t>
      </w:r>
    </w:p>
    <w:p w:rsidR="00E543B0" w:rsidP="00E543B0" w:rsidRDefault="00E543B0">
      <w:pPr>
        <w:pStyle w:val="10"/>
        <w:spacing w:after="0" w:line="360" w:lineRule="auto"/>
        <w:ind w:left="1440" w:right="709"/>
        <w:jc w:val="both"/>
        <w:rPr>
          <w:rFonts w:ascii="Miriam" w:hAnsi="Miriam" w:cs="Miriam"/>
          <w:sz w:val="24"/>
          <w:szCs w:val="24"/>
          <w:rtl/>
        </w:rPr>
      </w:pPr>
      <w:r>
        <w:rPr>
          <w:rFonts w:ascii="Miriam" w:hAnsi="Miriam" w:cs="Miriam"/>
          <w:sz w:val="24"/>
          <w:szCs w:val="24"/>
          <w:rtl/>
        </w:rPr>
        <w:t>המרגל בחבירו עובר בלא תעשה שנאמר לא תלך רכיל בעמיך, ואף על פי שאין לוקין על דבר זה עון גדול הוא וגורם להרוג נפשות רבות מישראל, לכך נסמך לו ולא תעמוד על דם רעך...</w:t>
      </w:r>
    </w:p>
    <w:p w:rsidR="00E543B0" w:rsidP="00E543B0" w:rsidRDefault="00E543B0">
      <w:pPr>
        <w:pStyle w:val="10"/>
        <w:spacing w:after="0" w:line="360" w:lineRule="auto"/>
        <w:ind w:left="1440" w:right="709"/>
        <w:jc w:val="both"/>
        <w:rPr>
          <w:rFonts w:ascii="Miriam" w:hAnsi="Miriam" w:cs="Miriam"/>
          <w:sz w:val="24"/>
          <w:szCs w:val="24"/>
          <w:rtl/>
        </w:rPr>
      </w:pPr>
    </w:p>
    <w:p w:rsidR="00E543B0" w:rsidP="00E543B0" w:rsidRDefault="00E543B0">
      <w:pPr>
        <w:pStyle w:val="10"/>
        <w:spacing w:after="0" w:line="360" w:lineRule="auto"/>
        <w:ind w:left="1440" w:right="709"/>
        <w:jc w:val="both"/>
        <w:rPr>
          <w:rFonts w:ascii="David" w:hAnsi="David" w:cs="David"/>
          <w:sz w:val="24"/>
          <w:szCs w:val="24"/>
          <w:rtl/>
        </w:rPr>
      </w:pPr>
      <w:r>
        <w:rPr>
          <w:rFonts w:ascii="Miriam" w:hAnsi="Miriam" w:cs="Miriam"/>
          <w:sz w:val="24"/>
          <w:szCs w:val="24"/>
          <w:rtl/>
        </w:rPr>
        <w:t>אי זהו רכיל זה שטוען דברים והולך מזה לזה ואומר כך אמר פלוני כך וכך שמעתי על פלוני אף על פי שהוא אמת הרי זה מחריב את העולם, יש עוון גדול מזה עד מאד והוא בכלל לאו זה והוא לשון הרע, והוא המספר בגנות חבירו אף על פי שאומר אמת, אבל האומר שקר נקרא מוציא שם רע על חבירו, אבל בעל לשון הרע זה שיושב ואומר כך וכך עשה פלוני וכך וכך היו אבותיו וכך וכך שמעתי עליו ואמר דברים של גנאי</w:t>
      </w:r>
      <w:r>
        <w:rPr>
          <w:rFonts w:ascii="David" w:hAnsi="David" w:cs="David"/>
          <w:sz w:val="24"/>
          <w:szCs w:val="24"/>
          <w:rtl/>
        </w:rPr>
        <w:t xml:space="preserve">" [רמב"ם </w:t>
      </w:r>
      <w:r>
        <w:rPr>
          <w:rFonts w:ascii="David" w:hAnsi="David" w:cs="David"/>
          <w:b/>
          <w:bCs/>
          <w:sz w:val="24"/>
          <w:szCs w:val="24"/>
          <w:rtl/>
        </w:rPr>
        <w:t>הלכות דעות</w:t>
      </w:r>
      <w:r>
        <w:rPr>
          <w:rFonts w:ascii="David" w:hAnsi="David" w:cs="David"/>
          <w:sz w:val="24"/>
          <w:szCs w:val="24"/>
          <w:rtl/>
        </w:rPr>
        <w:t xml:space="preserve"> פרק ז הלכה א – ב].</w:t>
      </w:r>
    </w:p>
    <w:p w:rsidR="00E543B0" w:rsidP="00E543B0" w:rsidRDefault="00E543B0">
      <w:pPr>
        <w:pStyle w:val="10"/>
        <w:spacing w:after="0" w:line="360" w:lineRule="auto"/>
        <w:rPr>
          <w:rFonts w:ascii="David" w:hAnsi="David" w:cs="David"/>
          <w:sz w:val="24"/>
          <w:szCs w:val="24"/>
          <w:rtl/>
        </w:rPr>
      </w:pPr>
    </w:p>
    <w:p w:rsidR="00E543B0" w:rsidP="00E543B0" w:rsidRDefault="00E543B0">
      <w:pPr>
        <w:pStyle w:val="10"/>
        <w:numPr>
          <w:ilvl w:val="0"/>
          <w:numId w:val="1"/>
        </w:numPr>
        <w:spacing w:after="0" w:line="360" w:lineRule="auto"/>
        <w:jc w:val="both"/>
        <w:rPr>
          <w:rFonts w:ascii="David" w:hAnsi="David" w:cs="David"/>
          <w:sz w:val="24"/>
          <w:szCs w:val="24"/>
          <w:rtl/>
        </w:rPr>
      </w:pPr>
      <w:r>
        <w:rPr>
          <w:rFonts w:ascii="David" w:hAnsi="David" w:cs="David"/>
          <w:sz w:val="24"/>
          <w:szCs w:val="24"/>
          <w:rtl/>
        </w:rPr>
        <w:t>ביטויים הרבה ניתן למצוא במסורת המשפט העברי מהם ניתן ללמוד עד כמה קשה הוא נזקו של האומר לשון הרע והמבייש את חבירו, כך למשל מלמדים חז"ל "</w:t>
      </w:r>
      <w:r>
        <w:rPr>
          <w:rFonts w:ascii="Miriam" w:hAnsi="Miriam" w:cs="Miriam"/>
          <w:sz w:val="24"/>
          <w:szCs w:val="24"/>
          <w:rtl/>
        </w:rPr>
        <w:t>אין הגשמים נעצרים אלא בשביל מספרי לשון הרע</w:t>
      </w:r>
      <w:r>
        <w:rPr>
          <w:rFonts w:ascii="David" w:hAnsi="David" w:cs="David"/>
          <w:sz w:val="24"/>
          <w:szCs w:val="24"/>
          <w:rtl/>
        </w:rPr>
        <w:t>" [</w:t>
      </w:r>
      <w:r>
        <w:rPr>
          <w:rFonts w:ascii="David" w:hAnsi="David" w:cs="David"/>
          <w:b/>
          <w:bCs/>
          <w:sz w:val="24"/>
          <w:szCs w:val="24"/>
          <w:rtl/>
        </w:rPr>
        <w:t>בבלי תענית</w:t>
      </w:r>
      <w:r>
        <w:rPr>
          <w:rFonts w:ascii="David" w:hAnsi="David" w:cs="David"/>
          <w:sz w:val="24"/>
          <w:szCs w:val="24"/>
          <w:rtl/>
        </w:rPr>
        <w:t xml:space="preserve"> ז, ע"ב];  "</w:t>
      </w:r>
      <w:r>
        <w:rPr>
          <w:rFonts w:ascii="Miriam" w:hAnsi="Miriam" w:cs="Miriam"/>
          <w:sz w:val="24"/>
          <w:szCs w:val="24"/>
          <w:rtl/>
        </w:rPr>
        <w:t>נח לו לאדם שיפיל עצמו לתוך כבשן האש ואל ילבין פני חבירו ברבים</w:t>
      </w:r>
      <w:r>
        <w:rPr>
          <w:rFonts w:ascii="David" w:hAnsi="David" w:cs="David"/>
          <w:sz w:val="24"/>
          <w:szCs w:val="24"/>
          <w:rtl/>
        </w:rPr>
        <w:t>" [</w:t>
      </w:r>
      <w:r>
        <w:rPr>
          <w:rFonts w:ascii="David" w:hAnsi="David" w:cs="David"/>
          <w:b/>
          <w:bCs/>
          <w:sz w:val="24"/>
          <w:szCs w:val="24"/>
          <w:rtl/>
        </w:rPr>
        <w:t>בבלי סוטה</w:t>
      </w:r>
      <w:r>
        <w:rPr>
          <w:rFonts w:ascii="David" w:hAnsi="David" w:cs="David"/>
          <w:sz w:val="24"/>
          <w:szCs w:val="24"/>
          <w:rtl/>
        </w:rPr>
        <w:t xml:space="preserve"> י, ע"ב], וש"י עגנון לימד וכתב לנו "</w:t>
      </w:r>
      <w:r>
        <w:rPr>
          <w:rFonts w:ascii="Miriam" w:hAnsi="Miriam" w:cs="Miriam"/>
          <w:sz w:val="24"/>
          <w:szCs w:val="24"/>
          <w:rtl/>
        </w:rPr>
        <w:t>אלף מיתות ולא בושה אחת</w:t>
      </w:r>
      <w:r>
        <w:rPr>
          <w:rFonts w:ascii="David" w:hAnsi="David" w:cs="David"/>
          <w:sz w:val="24"/>
          <w:szCs w:val="24"/>
          <w:rtl/>
        </w:rPr>
        <w:t>" [</w:t>
      </w:r>
      <w:r>
        <w:rPr>
          <w:rFonts w:ascii="David" w:hAnsi="David" w:cs="David"/>
          <w:b/>
          <w:bCs/>
          <w:sz w:val="24"/>
          <w:szCs w:val="24"/>
          <w:rtl/>
        </w:rPr>
        <w:t>סיפור פשוט</w:t>
      </w:r>
      <w:r>
        <w:rPr>
          <w:rFonts w:ascii="David" w:hAnsi="David" w:cs="David"/>
          <w:sz w:val="24"/>
          <w:szCs w:val="24"/>
          <w:rtl/>
        </w:rPr>
        <w:t>, עמ' 30]. ואם לא די בכך הרי "</w:t>
      </w:r>
      <w:r>
        <w:rPr>
          <w:rFonts w:ascii="Miriam" w:hAnsi="Miriam" w:cs="Miriam"/>
          <w:sz w:val="24"/>
          <w:szCs w:val="24"/>
          <w:rtl/>
        </w:rPr>
        <w:t>שהמוציא שם רע על חבירו, אין לו מחילה עולמית</w:t>
      </w:r>
      <w:r>
        <w:rPr>
          <w:rFonts w:ascii="David" w:hAnsi="David" w:cs="David"/>
          <w:sz w:val="24"/>
          <w:szCs w:val="24"/>
          <w:rtl/>
        </w:rPr>
        <w:t>" [</w:t>
      </w:r>
      <w:r>
        <w:rPr>
          <w:rFonts w:ascii="David" w:hAnsi="David" w:cs="David"/>
          <w:b/>
          <w:bCs/>
          <w:sz w:val="24"/>
          <w:szCs w:val="24"/>
          <w:rtl/>
        </w:rPr>
        <w:t>ירושלמי בבא קמא</w:t>
      </w:r>
      <w:r>
        <w:rPr>
          <w:rFonts w:ascii="David" w:hAnsi="David" w:cs="David"/>
          <w:sz w:val="24"/>
          <w:szCs w:val="24"/>
          <w:rtl/>
        </w:rPr>
        <w:t>, פרק ח הלכה י]  כאשר נדרש ניטשה לעמוד על הרע ומהו רע, הוא מניח "</w:t>
      </w:r>
      <w:r>
        <w:rPr>
          <w:rFonts w:ascii="Miriam" w:hAnsi="Miriam" w:cs="Miriam"/>
          <w:sz w:val="24"/>
          <w:szCs w:val="24"/>
          <w:rtl/>
        </w:rPr>
        <w:t>מה רע בעיניך? זה המבקש תמיד לבייש</w:t>
      </w:r>
      <w:r>
        <w:rPr>
          <w:rFonts w:ascii="David" w:hAnsi="David" w:cs="David"/>
          <w:sz w:val="24"/>
          <w:szCs w:val="24"/>
          <w:rtl/>
        </w:rPr>
        <w:t xml:space="preserve">" [פרידריך ניטשה, </w:t>
      </w:r>
      <w:r>
        <w:rPr>
          <w:rFonts w:ascii="David" w:hAnsi="David" w:cs="David"/>
          <w:b/>
          <w:bCs/>
          <w:sz w:val="24"/>
          <w:szCs w:val="24"/>
          <w:rtl/>
        </w:rPr>
        <w:t>המדע העליז</w:t>
      </w:r>
      <w:r>
        <w:rPr>
          <w:rFonts w:ascii="David" w:hAnsi="David" w:cs="David"/>
          <w:sz w:val="24"/>
          <w:szCs w:val="24"/>
          <w:rtl/>
        </w:rPr>
        <w:t xml:space="preserve"> [תרגם: ישראל אלדד, 1985], פסקה 273], משכך מבקש הרב אברם יצחק הכהן קוק, הראי"ה, הרב האשכנזי הראשון בארץ ישראל, פוסק והוגה דעות, מלמדנו: "</w:t>
      </w:r>
      <w:r>
        <w:rPr>
          <w:rFonts w:ascii="Miriam" w:hAnsi="Miriam" w:cs="Miriam"/>
          <w:sz w:val="24"/>
          <w:szCs w:val="24"/>
          <w:rtl/>
        </w:rPr>
        <w:t>הרוצה לשמור מנוחת נפשו, ייזהר מכל דיבור הנראה כגסות רוח</w:t>
      </w:r>
      <w:r>
        <w:rPr>
          <w:rFonts w:ascii="David" w:hAnsi="David" w:cs="David"/>
          <w:sz w:val="24"/>
          <w:szCs w:val="24"/>
          <w:rtl/>
        </w:rPr>
        <w:t xml:space="preserve">" [הראי"ה קוק, </w:t>
      </w:r>
      <w:r>
        <w:rPr>
          <w:rFonts w:ascii="David" w:hAnsi="David" w:cs="David"/>
          <w:b/>
          <w:bCs/>
          <w:sz w:val="24"/>
          <w:szCs w:val="24"/>
          <w:rtl/>
        </w:rPr>
        <w:t>שמונה קבצים – קובץ ב</w:t>
      </w:r>
      <w:r>
        <w:rPr>
          <w:rFonts w:ascii="David" w:hAnsi="David" w:cs="David"/>
          <w:sz w:val="24"/>
          <w:szCs w:val="24"/>
          <w:rtl/>
        </w:rPr>
        <w:t>, פסקה רו] לגישתו של הראי"ה קוק אין צורך בדיבור קשה ממש, ממנו אדם צריך למנוע את עצמו, אלא ולגישתו די בדברים 'שנראים' כגסות רוח ומהם על האדם להימנע ולהתרחק.</w:t>
      </w:r>
    </w:p>
    <w:p w:rsidR="00E543B0" w:rsidP="00E543B0" w:rsidRDefault="00E543B0">
      <w:pPr>
        <w:pStyle w:val="10"/>
        <w:spacing w:after="0" w:line="360" w:lineRule="auto"/>
        <w:jc w:val="both"/>
        <w:rPr>
          <w:rFonts w:ascii="David" w:hAnsi="David" w:cs="David"/>
          <w:sz w:val="24"/>
          <w:szCs w:val="24"/>
          <w:rtl/>
        </w:rPr>
      </w:pPr>
    </w:p>
    <w:p w:rsidR="00E543B0" w:rsidP="00E543B0" w:rsidRDefault="00E543B0">
      <w:pPr>
        <w:pStyle w:val="10"/>
        <w:numPr>
          <w:ilvl w:val="0"/>
          <w:numId w:val="1"/>
        </w:numPr>
        <w:spacing w:after="0" w:line="360" w:lineRule="auto"/>
        <w:jc w:val="both"/>
        <w:rPr>
          <w:rFonts w:ascii="David" w:hAnsi="David" w:cs="David"/>
          <w:sz w:val="24"/>
          <w:szCs w:val="24"/>
        </w:rPr>
      </w:pPr>
      <w:r>
        <w:rPr>
          <w:rFonts w:ascii="David" w:hAnsi="David" w:cs="David"/>
          <w:sz w:val="24"/>
          <w:szCs w:val="24"/>
          <w:rtl/>
        </w:rPr>
        <w:lastRenderedPageBreak/>
        <w:t xml:space="preserve">בשים לב לעובדה שעלינו ליתן דעתנו בפרשנות החוק גם לערכיה היהודיים של מדינת ישראל הרי שהמחקר בתחום מניח לנו קרקע פורייה של כתיבה שעוסקת בתחום לשון הרע ומבררת אותו לא כאן המקום למנות את כולם אבל פטור בלא כלום אי אפשר ובהקשר זה יש להפנות לנחום </w:t>
      </w:r>
      <w:hyperlink w:history="1" r:id="rId10">
        <w:r>
          <w:rPr>
            <w:rStyle w:val="Hyperlink"/>
            <w:rFonts w:ascii="David" w:hAnsi="David" w:cs="David"/>
            <w:color w:val="000000"/>
            <w:sz w:val="24"/>
            <w:szCs w:val="24"/>
            <w:rtl/>
          </w:rPr>
          <w:t>רקובר, "על לשון הרע ועל</w:t>
        </w:r>
      </w:hyperlink>
      <w:r>
        <w:rPr>
          <w:rFonts w:ascii="David" w:hAnsi="David" w:cs="David"/>
          <w:sz w:val="24"/>
          <w:szCs w:val="24"/>
          <w:rtl/>
        </w:rPr>
        <w:t xml:space="preserve"> הענישה עליה במשפט העברי", </w:t>
      </w:r>
      <w:r>
        <w:rPr>
          <w:rFonts w:ascii="David" w:hAnsi="David" w:cs="David"/>
          <w:b/>
          <w:bCs/>
          <w:sz w:val="24"/>
          <w:szCs w:val="24"/>
          <w:rtl/>
        </w:rPr>
        <w:t xml:space="preserve">סיני </w:t>
      </w:r>
      <w:r>
        <w:rPr>
          <w:rFonts w:ascii="David" w:hAnsi="David" w:cs="David"/>
          <w:sz w:val="24"/>
          <w:szCs w:val="24"/>
          <w:rtl/>
        </w:rPr>
        <w:t xml:space="preserve">נא (תשכ"ב) קצז-רט; חיים ה, כהן, "על חופש הדעה והדיבור במסורת ישראל", בתוך: </w:t>
      </w:r>
      <w:r>
        <w:rPr>
          <w:rFonts w:ascii="David" w:hAnsi="David" w:cs="David"/>
          <w:b/>
          <w:bCs/>
          <w:sz w:val="24"/>
          <w:szCs w:val="24"/>
          <w:rtl/>
        </w:rPr>
        <w:t xml:space="preserve">זכויות האדם </w:t>
      </w:r>
      <w:r>
        <w:rPr>
          <w:rFonts w:ascii="David" w:hAnsi="David" w:cs="David"/>
          <w:sz w:val="24"/>
          <w:szCs w:val="24"/>
          <w:rtl/>
        </w:rPr>
        <w:t xml:space="preserve">ביהדות (גידי פרישטיק, עורך, תשנ"ב) 179; חיים ה' כהן, "לא תלך רכיל בעמיך – מקצת רכילות ולשון הרע מהלכה ומאגדה", בתוך: </w:t>
      </w:r>
      <w:r>
        <w:rPr>
          <w:rFonts w:ascii="David" w:hAnsi="David" w:cs="David"/>
          <w:b/>
          <w:bCs/>
          <w:sz w:val="24"/>
          <w:szCs w:val="24"/>
          <w:rtl/>
        </w:rPr>
        <w:t xml:space="preserve">חיים כהן: מבחר כתבים – קציר עשור הגבורות </w:t>
      </w:r>
      <w:r>
        <w:rPr>
          <w:rFonts w:ascii="David" w:hAnsi="David" w:cs="David"/>
          <w:sz w:val="24"/>
          <w:szCs w:val="24"/>
          <w:rtl/>
        </w:rPr>
        <w:t xml:space="preserve">(אהרון ברק ורות גביזון, עורכים (2001) 161; נעם סולברג, על לשון הרע, ''לשון טובה'' ופיצויים", </w:t>
      </w:r>
      <w:r>
        <w:rPr>
          <w:rFonts w:ascii="David" w:hAnsi="David" w:cs="David"/>
          <w:b/>
          <w:bCs/>
          <w:sz w:val="24"/>
          <w:szCs w:val="24"/>
          <w:rtl/>
        </w:rPr>
        <w:t xml:space="preserve">פרשת שבוע </w:t>
      </w:r>
      <w:r>
        <w:rPr>
          <w:rFonts w:ascii="David" w:hAnsi="David" w:cs="David"/>
          <w:sz w:val="24"/>
          <w:szCs w:val="24"/>
          <w:rtl/>
        </w:rPr>
        <w:t xml:space="preserve">(משרד המשפטים), אביעד הכהן ומיכאל ויגודה, עורכים, גיליון מס' 70 (תשס"ב); נעם סולברג, זכות האדם לשם טוב, חופש הביטוי ולשון הרע לתועלת", </w:t>
      </w:r>
      <w:r>
        <w:rPr>
          <w:rFonts w:ascii="David" w:hAnsi="David" w:cs="David"/>
          <w:b/>
          <w:bCs/>
          <w:sz w:val="24"/>
          <w:szCs w:val="24"/>
          <w:rtl/>
        </w:rPr>
        <w:t xml:space="preserve">פרשת שבוע </w:t>
      </w:r>
      <w:r>
        <w:rPr>
          <w:rFonts w:ascii="David" w:hAnsi="David" w:cs="David"/>
          <w:sz w:val="24"/>
          <w:szCs w:val="24"/>
          <w:rtl/>
        </w:rPr>
        <w:t>(משרד המשפטים)</w:t>
      </w:r>
      <w:r>
        <w:rPr>
          <w:rFonts w:ascii="David" w:hAnsi="David" w:cs="David"/>
          <w:sz w:val="24"/>
          <w:szCs w:val="24"/>
        </w:rPr>
        <w:t xml:space="preserve"> </w:t>
      </w:r>
      <w:r>
        <w:rPr>
          <w:rFonts w:ascii="David" w:hAnsi="David" w:cs="David"/>
          <w:sz w:val="24"/>
          <w:szCs w:val="24"/>
          <w:rtl/>
        </w:rPr>
        <w:t xml:space="preserve">אביעד הכהן ומיכאל ויגודה, עורכים, גיליון מס' 29 (תשס"א); אביעד הכהן, ''האיסור לבייש אדם וחובת השמירה על כבודו", </w:t>
      </w:r>
      <w:r>
        <w:rPr>
          <w:rFonts w:ascii="David" w:hAnsi="David" w:cs="David"/>
          <w:b/>
          <w:bCs/>
          <w:sz w:val="24"/>
          <w:szCs w:val="24"/>
          <w:rtl/>
        </w:rPr>
        <w:t xml:space="preserve">פרשת שבוע </w:t>
      </w:r>
      <w:r>
        <w:rPr>
          <w:rFonts w:ascii="David" w:hAnsi="David" w:cs="David"/>
          <w:sz w:val="24"/>
          <w:szCs w:val="24"/>
          <w:rtl/>
        </w:rPr>
        <w:t xml:space="preserve">(משרד המשפטים), אביעד הכהן ומיכאל ויגודה, עורכים, גיליון מס' 273 (תשס"ז); אביעד הכהן, "חופש הביטוי במשפט העברי" בתוך: </w:t>
      </w:r>
      <w:r>
        <w:rPr>
          <w:rFonts w:ascii="David" w:hAnsi="David" w:cs="David"/>
          <w:b/>
          <w:bCs/>
          <w:sz w:val="24"/>
          <w:szCs w:val="24"/>
          <w:rtl/>
        </w:rPr>
        <w:t xml:space="preserve">תקשורת ויהדות – אסופת מאמרים </w:t>
      </w:r>
      <w:r>
        <w:rPr>
          <w:rFonts w:ascii="David" w:hAnsi="David" w:cs="David"/>
          <w:sz w:val="24"/>
          <w:szCs w:val="24"/>
          <w:rtl/>
        </w:rPr>
        <w:t xml:space="preserve">(צוריאל ראשי ומוטי זפט עורכים, 2008) 9; הרב אשר וייס, </w:t>
      </w:r>
      <w:r>
        <w:rPr>
          <w:rFonts w:ascii="David" w:hAnsi="David" w:cs="David"/>
          <w:b/>
          <w:bCs/>
          <w:sz w:val="24"/>
          <w:szCs w:val="24"/>
          <w:rtl/>
        </w:rPr>
        <w:t xml:space="preserve">מנחת אשר – ויקרא, </w:t>
      </w:r>
      <w:r>
        <w:rPr>
          <w:rFonts w:ascii="David" w:hAnsi="David" w:cs="David"/>
          <w:sz w:val="24"/>
          <w:szCs w:val="24"/>
          <w:rtl/>
        </w:rPr>
        <w:t>מהדורה שנייה, סימן נב].</w:t>
      </w:r>
    </w:p>
    <w:p w:rsidR="00E543B0" w:rsidP="00E543B0" w:rsidRDefault="00E543B0">
      <w:pPr>
        <w:rPr>
          <w:rFonts w:ascii="David" w:hAnsi="David" w:cstheme="minorBidi"/>
          <w:sz w:val="22"/>
          <w:szCs w:val="22"/>
        </w:rPr>
      </w:pPr>
    </w:p>
    <w:p w:rsidR="00E543B0" w:rsidP="00E543B0" w:rsidRDefault="00E543B0">
      <w:pPr>
        <w:pStyle w:val="10"/>
        <w:numPr>
          <w:ilvl w:val="0"/>
          <w:numId w:val="1"/>
        </w:numPr>
        <w:spacing w:after="0" w:line="360" w:lineRule="auto"/>
        <w:jc w:val="both"/>
        <w:rPr>
          <w:rFonts w:ascii="David" w:hAnsi="David" w:cs="David"/>
          <w:sz w:val="24"/>
          <w:szCs w:val="24"/>
        </w:rPr>
      </w:pPr>
      <w:r>
        <w:rPr>
          <w:rFonts w:ascii="David" w:hAnsi="David" w:cs="David"/>
          <w:sz w:val="24"/>
          <w:szCs w:val="24"/>
          <w:rtl/>
        </w:rPr>
        <w:t>בעיסוקנו בענייני לשון הרע, אי אפשר מבלי שנעסוק לרגע בכח הדיבור שניחן בו האדם והוא מבטא את אחד מיתרונותיו הגדולים של האדם על כל יצורי חי. בספר משלי מצינו שכתוב: "</w:t>
      </w:r>
      <w:r>
        <w:rPr>
          <w:rFonts w:ascii="Miriam" w:hAnsi="Miriam" w:cs="Miriam"/>
          <w:sz w:val="24"/>
          <w:szCs w:val="24"/>
          <w:rtl/>
        </w:rPr>
        <w:t>ברוב דברים לא יחדל פשע, וחושך שפתיו משכיל</w:t>
      </w:r>
      <w:r>
        <w:rPr>
          <w:rFonts w:ascii="David" w:hAnsi="David" w:cs="David"/>
          <w:sz w:val="24"/>
          <w:szCs w:val="24"/>
          <w:rtl/>
        </w:rPr>
        <w:t>" [</w:t>
      </w:r>
      <w:r>
        <w:rPr>
          <w:rFonts w:ascii="David" w:hAnsi="David" w:cs="David"/>
          <w:b/>
          <w:bCs/>
          <w:sz w:val="24"/>
          <w:szCs w:val="24"/>
          <w:rtl/>
        </w:rPr>
        <w:t>משלי</w:t>
      </w:r>
      <w:r>
        <w:rPr>
          <w:rFonts w:ascii="David" w:hAnsi="David" w:cs="David"/>
          <w:sz w:val="24"/>
          <w:szCs w:val="24"/>
          <w:rtl/>
        </w:rPr>
        <w:t xml:space="preserve"> י, יט], רבי מאיר ליבוש בן יחיאל מיכל וייזר, המוכר בכינויו המלבי"ם, מגדולי פרשני המקרא במאה ה-19 הסביר את הפסוק באופן הבא: "</w:t>
      </w:r>
      <w:r>
        <w:rPr>
          <w:rFonts w:ascii="Miriam" w:hAnsi="Miriam" w:cs="Miriam"/>
          <w:sz w:val="24"/>
          <w:szCs w:val="24"/>
          <w:rtl/>
        </w:rPr>
        <w:t>רוב חלקי הדיבור אף דבורי הרשות מביאים אל הפשע</w:t>
      </w:r>
      <w:r>
        <w:rPr>
          <w:rFonts w:ascii="David" w:hAnsi="David" w:cs="David"/>
          <w:sz w:val="24"/>
          <w:szCs w:val="24"/>
          <w:rtl/>
        </w:rPr>
        <w:t>" [</w:t>
      </w:r>
      <w:r>
        <w:rPr>
          <w:rFonts w:ascii="David" w:hAnsi="David" w:cs="David"/>
          <w:b/>
          <w:bCs/>
          <w:sz w:val="24"/>
          <w:szCs w:val="24"/>
          <w:rtl/>
        </w:rPr>
        <w:t xml:space="preserve">מלבי"ם משלי </w:t>
      </w:r>
      <w:r>
        <w:rPr>
          <w:rFonts w:ascii="David" w:hAnsi="David" w:cs="David"/>
          <w:sz w:val="24"/>
          <w:szCs w:val="24"/>
          <w:rtl/>
        </w:rPr>
        <w:t xml:space="preserve">י, יט]. אחד מספרי המוסר החשובים בארון הספרים היהודי הינו הספר </w:t>
      </w:r>
      <w:r>
        <w:rPr>
          <w:rFonts w:ascii="David" w:hAnsi="David" w:cs="David"/>
          <w:b/>
          <w:bCs/>
          <w:sz w:val="24"/>
          <w:szCs w:val="24"/>
          <w:rtl/>
        </w:rPr>
        <w:t>'אורחות צדיקים'</w:t>
      </w:r>
      <w:r>
        <w:rPr>
          <w:rFonts w:ascii="David" w:hAnsi="David" w:cs="David"/>
          <w:sz w:val="24"/>
          <w:szCs w:val="24"/>
          <w:rtl/>
        </w:rPr>
        <w:t xml:space="preserve">, ספר זה שנכתב, ככל הנראה, במאה ה-15 על ידי מחבר שזהותו עלומה, עוסק בעבודה על תכונות האדם – על מידות טובות שעל האדם לחתור אליהם. הספר מקדיש פרק שעוסק בשתיקה. בפרק זה הדיבור נחלק ל-4 סוגים שונים, וכך הם הדברים: </w:t>
      </w:r>
    </w:p>
    <w:p w:rsidR="00E543B0" w:rsidP="00E543B0" w:rsidRDefault="00E543B0">
      <w:pPr>
        <w:pStyle w:val="ad"/>
        <w:rPr>
          <w:rFonts w:hint="cs" w:ascii="David" w:hAnsi="David" w:cs="David"/>
          <w:sz w:val="24"/>
          <w:szCs w:val="24"/>
          <w:rtl/>
        </w:rPr>
      </w:pPr>
    </w:p>
    <w:p w:rsidR="00E543B0" w:rsidP="00E543B0" w:rsidRDefault="00E543B0">
      <w:pPr>
        <w:spacing w:line="360" w:lineRule="auto"/>
        <w:ind w:left="1440" w:right="709"/>
        <w:jc w:val="both"/>
        <w:rPr>
          <w:rFonts w:ascii="Miriam" w:hAnsi="Miriam" w:cs="Miriam"/>
          <w:rtl/>
        </w:rPr>
      </w:pPr>
      <w:r>
        <w:rPr>
          <w:rFonts w:ascii="Miriam" w:hAnsi="Miriam" w:cs="Miriam"/>
          <w:rtl/>
        </w:rPr>
        <w:t xml:space="preserve">"הדיבור מצאתי נחלק לארבעה חלקים: </w:t>
      </w:r>
    </w:p>
    <w:p w:rsidR="00E543B0" w:rsidP="00E543B0" w:rsidRDefault="00E543B0">
      <w:pPr>
        <w:spacing w:line="360" w:lineRule="auto"/>
        <w:ind w:left="1440" w:right="709"/>
        <w:jc w:val="both"/>
        <w:rPr>
          <w:rFonts w:ascii="Miriam" w:hAnsi="Miriam" w:cs="Miriam"/>
        </w:rPr>
      </w:pPr>
      <w:r>
        <w:rPr>
          <w:rFonts w:ascii="Miriam" w:hAnsi="Miriam" w:cs="Miriam"/>
          <w:rtl/>
        </w:rPr>
        <w:t xml:space="preserve">אחד – כולו נזק, כגון בני אדם הרגילים לקלל בני אדם, ולדבר דברי נבלה. </w:t>
      </w:r>
    </w:p>
    <w:p w:rsidR="00E543B0" w:rsidP="00E543B0" w:rsidRDefault="00E543B0">
      <w:pPr>
        <w:spacing w:line="360" w:lineRule="auto"/>
        <w:ind w:left="1440" w:right="709"/>
        <w:jc w:val="both"/>
        <w:rPr>
          <w:rFonts w:ascii="Miriam" w:hAnsi="Miriam" w:cs="Miriam"/>
          <w:rtl/>
        </w:rPr>
      </w:pPr>
      <w:r>
        <w:rPr>
          <w:rFonts w:ascii="Miriam" w:hAnsi="Miriam" w:cs="Miriam"/>
          <w:rtl/>
        </w:rPr>
        <w:t>השני – נזק מצד אחד, כגון שמשבח אחד לקבל מנו תועלת; ובאותו השבח שמשבח מכעיס את שונאו, ויזיק למי שמשבח לשונאו.</w:t>
      </w:r>
    </w:p>
    <w:p w:rsidR="00E543B0" w:rsidP="00E543B0" w:rsidRDefault="00E543B0">
      <w:pPr>
        <w:spacing w:line="360" w:lineRule="auto"/>
        <w:ind w:left="1440" w:right="709"/>
        <w:jc w:val="both"/>
        <w:rPr>
          <w:rFonts w:ascii="Miriam" w:hAnsi="Miriam" w:cs="Miriam"/>
          <w:rtl/>
        </w:rPr>
      </w:pPr>
      <w:r>
        <w:rPr>
          <w:rFonts w:ascii="Miriam" w:hAnsi="Miriam" w:cs="Miriam"/>
          <w:rtl/>
        </w:rPr>
        <w:t>השלישי – לא נזק ולא תועלת, כגון דברים של הבל: "איך נבנית חומה פלונית, "וכך וכך הוציא עליה, וסיפורי מלכים ושרים.</w:t>
      </w:r>
    </w:p>
    <w:p w:rsidR="00E543B0" w:rsidP="00E543B0" w:rsidRDefault="00E543B0">
      <w:pPr>
        <w:spacing w:line="360" w:lineRule="auto"/>
        <w:ind w:left="1440" w:right="709"/>
        <w:jc w:val="both"/>
        <w:rPr>
          <w:rFonts w:ascii="David" w:hAnsi="David" w:cstheme="minorBidi"/>
          <w:sz w:val="22"/>
          <w:szCs w:val="22"/>
          <w:rtl/>
        </w:rPr>
      </w:pPr>
      <w:r>
        <w:rPr>
          <w:rFonts w:ascii="Miriam" w:hAnsi="Miriam" w:cs="Miriam"/>
          <w:rtl/>
        </w:rPr>
        <w:lastRenderedPageBreak/>
        <w:t>הרביעי – כולו תועלת, כגון התורה והדברים התלויים בה"</w:t>
      </w:r>
      <w:r>
        <w:rPr>
          <w:rFonts w:ascii="David" w:hAnsi="David"/>
          <w:rtl/>
        </w:rPr>
        <w:t xml:space="preserve"> [</w:t>
      </w:r>
      <w:r>
        <w:rPr>
          <w:rFonts w:ascii="David" w:hAnsi="David"/>
          <w:b/>
          <w:bCs/>
          <w:rtl/>
        </w:rPr>
        <w:t xml:space="preserve">אורחות צדיקים, </w:t>
      </w:r>
      <w:r>
        <w:rPr>
          <w:rFonts w:ascii="David" w:hAnsi="David"/>
          <w:rtl/>
        </w:rPr>
        <w:t xml:space="preserve">שער כא, ראו בהקשר זה גם הרמב"ם שמחלק את הדיבור ל-5 סוגים, להרחבה ראו: </w:t>
      </w:r>
      <w:r>
        <w:rPr>
          <w:rFonts w:ascii="David" w:hAnsi="David"/>
          <w:b/>
          <w:bCs/>
          <w:rtl/>
        </w:rPr>
        <w:t>רמב"ם, פירוש למסכת אבות</w:t>
      </w:r>
      <w:r>
        <w:rPr>
          <w:rFonts w:ascii="David" w:hAnsi="David"/>
          <w:rtl/>
        </w:rPr>
        <w:t>, פרק א, משנה טז]].</w:t>
      </w:r>
    </w:p>
    <w:p w:rsidR="00E543B0" w:rsidP="00E543B0" w:rsidRDefault="00E543B0">
      <w:pPr>
        <w:spacing w:line="360" w:lineRule="auto"/>
        <w:ind w:left="1440" w:right="709"/>
        <w:jc w:val="both"/>
        <w:rPr>
          <w:rFonts w:ascii="David" w:hAnsi="David" w:cstheme="minorBidi"/>
          <w:sz w:val="22"/>
          <w:szCs w:val="22"/>
          <w:rtl/>
        </w:rPr>
      </w:pPr>
    </w:p>
    <w:p w:rsidR="00E543B0" w:rsidP="00E543B0" w:rsidRDefault="00E543B0">
      <w:pPr>
        <w:spacing w:line="360" w:lineRule="auto"/>
        <w:ind w:left="720"/>
        <w:jc w:val="both"/>
        <w:rPr>
          <w:rFonts w:ascii="David" w:hAnsi="David"/>
          <w:rtl/>
        </w:rPr>
      </w:pPr>
      <w:r>
        <w:rPr>
          <w:rFonts w:ascii="David" w:hAnsi="David"/>
          <w:rtl/>
        </w:rPr>
        <w:t xml:space="preserve">הנה כי כן שומה על אדם לבחון ולכוון דבריו שימנו עם הקבוצה של הדברים שניתן לתייגם ככאלו שיש בהם תועלת, וימעט ככל האפשר מדברים שבכוחם להזיק. </w:t>
      </w:r>
    </w:p>
    <w:p w:rsidR="00E543B0" w:rsidP="00E543B0" w:rsidRDefault="00E543B0">
      <w:pPr>
        <w:pStyle w:val="10"/>
        <w:spacing w:after="0" w:line="360" w:lineRule="auto"/>
        <w:jc w:val="both"/>
        <w:rPr>
          <w:rFonts w:ascii="David" w:hAnsi="David" w:cs="David"/>
          <w:sz w:val="24"/>
          <w:szCs w:val="24"/>
          <w:rtl/>
        </w:rPr>
      </w:pPr>
    </w:p>
    <w:p w:rsidR="00E543B0" w:rsidP="00E543B0" w:rsidRDefault="00E543B0">
      <w:pPr>
        <w:pStyle w:val="10"/>
        <w:numPr>
          <w:ilvl w:val="0"/>
          <w:numId w:val="1"/>
        </w:numPr>
        <w:spacing w:after="0" w:line="360" w:lineRule="auto"/>
        <w:jc w:val="both"/>
        <w:rPr>
          <w:rFonts w:ascii="David" w:hAnsi="David" w:cs="David"/>
          <w:sz w:val="24"/>
          <w:szCs w:val="24"/>
        </w:rPr>
      </w:pPr>
      <w:r>
        <w:rPr>
          <w:rFonts w:ascii="David" w:hAnsi="David" w:cs="David"/>
          <w:sz w:val="24"/>
          <w:szCs w:val="24"/>
          <w:rtl/>
        </w:rPr>
        <w:t>עוד נוסיף ונציין כי שאלת הוצאת לשון הרע תוך כדי הליך משפטי מהזווית של המשפט העברי נידון במאמרם של יובל סיני ויוסי שרעבי, וזו תורף מסקנתם "</w:t>
      </w:r>
      <w:r>
        <w:rPr>
          <w:rFonts w:ascii="Miriam" w:hAnsi="Miriam" w:cs="Miriam"/>
          <w:sz w:val="24"/>
          <w:szCs w:val="24"/>
          <w:rtl/>
        </w:rPr>
        <w:t>יש לבעלי דין המגיעים לבית המשפט כדי להגן על ענייניהם חסינות מפני תביעות לשון הרע ובלבד שמטרתם להגן על ענייניהם ולא לפרסם גנותו של בעל דינם בהגשת תביעה קנטרנית שאין בצידה תועלת. כמו כן נראה כי בכל מקרה, יש צורך לעמוד בקריטריונים של אמת ורלבנטיות</w:t>
      </w:r>
      <w:r>
        <w:rPr>
          <w:rFonts w:ascii="David" w:hAnsi="David" w:cs="David"/>
          <w:sz w:val="24"/>
          <w:szCs w:val="24"/>
          <w:rtl/>
        </w:rPr>
        <w:t xml:space="preserve">" [יובל סיני ויוסי שרעבי, "על הוצאת דיבה בהליך שיפוטי", </w:t>
      </w:r>
      <w:r>
        <w:rPr>
          <w:rFonts w:ascii="David" w:hAnsi="David" w:cs="David"/>
          <w:b/>
          <w:bCs/>
          <w:sz w:val="24"/>
          <w:szCs w:val="24"/>
          <w:rtl/>
        </w:rPr>
        <w:t xml:space="preserve">פרשת שבוע </w:t>
      </w:r>
      <w:r>
        <w:rPr>
          <w:rFonts w:ascii="David" w:hAnsi="David" w:cs="David"/>
          <w:sz w:val="24"/>
          <w:szCs w:val="24"/>
          <w:rtl/>
        </w:rPr>
        <w:t xml:space="preserve">(משרד המשפטים), אביעד הכהן ומכאל ויגודה, עורכים, גיליון מס' 329 (תשס"ח). </w:t>
      </w:r>
    </w:p>
    <w:p w:rsidR="00E543B0" w:rsidP="00E543B0" w:rsidRDefault="00E543B0">
      <w:pPr>
        <w:pStyle w:val="10"/>
        <w:rPr>
          <w:rFonts w:ascii="David" w:hAnsi="David" w:cs="David"/>
          <w:sz w:val="24"/>
          <w:szCs w:val="24"/>
        </w:rPr>
      </w:pPr>
    </w:p>
    <w:p w:rsidR="00E543B0" w:rsidP="00E543B0" w:rsidRDefault="00E543B0">
      <w:pPr>
        <w:pStyle w:val="10"/>
        <w:numPr>
          <w:ilvl w:val="0"/>
          <w:numId w:val="1"/>
        </w:numPr>
        <w:spacing w:after="0" w:line="360" w:lineRule="auto"/>
        <w:jc w:val="both"/>
        <w:rPr>
          <w:rFonts w:ascii="David" w:hAnsi="David" w:cs="David"/>
          <w:sz w:val="24"/>
          <w:szCs w:val="24"/>
        </w:rPr>
      </w:pPr>
      <w:r>
        <w:rPr>
          <w:rFonts w:ascii="David" w:hAnsi="David" w:cs="David"/>
          <w:sz w:val="24"/>
          <w:szCs w:val="24"/>
          <w:rtl/>
        </w:rPr>
        <w:t xml:space="preserve">אם נשוב למשפט הישראלי הרי שגם השופט ריבלין בדעת הרוב </w:t>
      </w:r>
      <w:r>
        <w:rPr>
          <w:rFonts w:ascii="Miriam" w:hAnsi="Miriam" w:cs="Miriam"/>
          <w:sz w:val="24"/>
          <w:szCs w:val="24"/>
          <w:rtl/>
        </w:rPr>
        <w:t>בהלכת חיר,</w:t>
      </w:r>
      <w:r>
        <w:rPr>
          <w:rFonts w:ascii="David" w:hAnsi="David" w:cs="David"/>
          <w:sz w:val="24"/>
          <w:szCs w:val="24"/>
          <w:rtl/>
        </w:rPr>
        <w:t xml:space="preserve"> היה ער לקשיים העולים מפרשנותו הרחבה  של סע' 13(5) לחוק איסור לשון הרע והקביעה שמדובר בהגנה מוחלטת, ולמרות זאת קובע השופט ריבלין שהיכולת לסייג את ההגנה אינה מצויה בתחום סמכותו של בית המשפט, וכך הם דבריו: "</w:t>
      </w:r>
      <w:r>
        <w:rPr>
          <w:rFonts w:ascii="Miriam" w:hAnsi="Miriam" w:cs="Miriam"/>
          <w:sz w:val="24"/>
          <w:szCs w:val="24"/>
          <w:rtl/>
        </w:rPr>
        <w:t>אפילו היינו סוברים כי במישור הדין הרצוי אין זה ראוי שההגנה המוחלטת תהא – ממש – מוחלטת, וכי יש לסייג את ההגנה לפי מבחן אובייקטיבי (כגון דרישה לקיום זיקה בין ההתבטאות לבין הדיון המשפטי) או לפי מבחן סובייקטיבי (למשל, אמונתו של המתבטא באשר לקיומה של זיקה כאמור או תום-ליבו) – עניין הוא למחוקק לענות בו, והשאלה אינה פשוטה כלל-וכלל.</w:t>
      </w:r>
      <w:r>
        <w:rPr>
          <w:sz w:val="24"/>
          <w:szCs w:val="24"/>
          <w:rtl/>
        </w:rPr>
        <w:t xml:space="preserve"> </w:t>
      </w:r>
      <w:r>
        <w:rPr>
          <w:rFonts w:ascii="David" w:hAnsi="David" w:cs="David"/>
          <w:sz w:val="24"/>
          <w:szCs w:val="24"/>
          <w:rtl/>
        </w:rPr>
        <w:t>[</w:t>
      </w:r>
      <w:r>
        <w:rPr>
          <w:rFonts w:ascii="Miriam" w:hAnsi="Miriam" w:cs="Miriam"/>
          <w:sz w:val="24"/>
          <w:szCs w:val="24"/>
          <w:rtl/>
        </w:rPr>
        <w:t>הלכת חיר</w:t>
      </w:r>
      <w:r>
        <w:rPr>
          <w:rFonts w:ascii="David" w:hAnsi="David" w:cs="David"/>
          <w:sz w:val="24"/>
          <w:szCs w:val="24"/>
          <w:rtl/>
        </w:rPr>
        <w:t>, עמ' 523]</w:t>
      </w:r>
    </w:p>
    <w:p w:rsidR="00E543B0" w:rsidP="00E543B0" w:rsidRDefault="00E543B0">
      <w:pPr>
        <w:pStyle w:val="10"/>
        <w:rPr>
          <w:rFonts w:ascii="David" w:hAnsi="David" w:cs="David"/>
          <w:sz w:val="24"/>
          <w:szCs w:val="24"/>
          <w:rtl/>
        </w:rPr>
      </w:pPr>
    </w:p>
    <w:p w:rsidR="00E543B0" w:rsidP="00E543B0" w:rsidRDefault="00E543B0">
      <w:pPr>
        <w:pStyle w:val="10"/>
        <w:numPr>
          <w:ilvl w:val="0"/>
          <w:numId w:val="1"/>
        </w:numPr>
        <w:spacing w:after="0" w:line="360" w:lineRule="auto"/>
        <w:jc w:val="both"/>
        <w:rPr>
          <w:rFonts w:ascii="David" w:hAnsi="David" w:cs="David"/>
          <w:sz w:val="24"/>
          <w:szCs w:val="24"/>
        </w:rPr>
      </w:pPr>
      <w:r>
        <w:rPr>
          <w:rFonts w:ascii="David" w:hAnsi="David" w:cs="David"/>
          <w:sz w:val="24"/>
          <w:szCs w:val="24"/>
          <w:rtl/>
        </w:rPr>
        <w:t>יש טעם של ממש בתפיסה זו ואכן ראוי להניח כי קיומה של ההגנה המעוגנת בסע' 13(5) לחוק איסור לשון הרע תהא מסורה לשיקול דעתו של בית המשפט. כאשר המבחן לתחולת החסינות שמקפל סע' 13(5) לחוק, אינו יכול להצטמצם רק לשאלה מיקומם של הדברים על ציר הזמן וככל שאלו נאמרו בתווך שבין תחילתם של הליכים משפטיים לבין סיומם, אלא לשאלות נוספות כגון האם הדברים הם אמת, האם הדברים נאמרו מתוך 'רשעות' כאשר רשעות תבחן האם ניתן היה להציג או להגיד את הדברים בדרך שהיא תהיה נקיה ומכבדת יותר. כך למשל חז"ל מחילים על האדם את החובה לדבר בלשון נקיה, או כפי שמנסח לנו זאת ר' יהושע בן לוי, בתלמוד: "</w:t>
      </w:r>
      <w:r>
        <w:rPr>
          <w:rFonts w:ascii="Miriam" w:hAnsi="Miriam" w:cs="Miriam"/>
          <w:sz w:val="24"/>
          <w:szCs w:val="24"/>
          <w:rtl/>
        </w:rPr>
        <w:t>לעולם אל יוציא אדם דבר מגונה מפיו</w:t>
      </w:r>
      <w:r>
        <w:rPr>
          <w:rFonts w:ascii="David" w:hAnsi="David" w:cs="David"/>
          <w:sz w:val="24"/>
          <w:szCs w:val="24"/>
          <w:rtl/>
        </w:rPr>
        <w:t>" [</w:t>
      </w:r>
      <w:r>
        <w:rPr>
          <w:rFonts w:ascii="David" w:hAnsi="David" w:cs="David"/>
          <w:b/>
          <w:bCs/>
          <w:sz w:val="24"/>
          <w:szCs w:val="24"/>
          <w:rtl/>
        </w:rPr>
        <w:t xml:space="preserve">בבלי פסחים </w:t>
      </w:r>
      <w:r>
        <w:rPr>
          <w:rFonts w:ascii="David" w:hAnsi="David" w:cs="David"/>
          <w:sz w:val="24"/>
          <w:szCs w:val="24"/>
          <w:rtl/>
        </w:rPr>
        <w:t xml:space="preserve">ג, ע"א; עוד ראו בהקשר זה אלישי בן יצחק, 'למד עצמך לדבר בלשון נקיה' </w:t>
      </w:r>
      <w:r>
        <w:rPr>
          <w:rFonts w:ascii="David" w:hAnsi="David" w:cs="David"/>
          <w:b/>
          <w:bCs/>
          <w:sz w:val="24"/>
          <w:szCs w:val="24"/>
          <w:rtl/>
        </w:rPr>
        <w:t xml:space="preserve">דף שבועי – אוניברסיטת בר אילן, </w:t>
      </w:r>
      <w:r>
        <w:rPr>
          <w:rFonts w:ascii="David" w:hAnsi="David" w:cs="David"/>
          <w:sz w:val="24"/>
          <w:szCs w:val="24"/>
          <w:rtl/>
        </w:rPr>
        <w:t>גיליון 1241, תשע"ח].</w:t>
      </w:r>
    </w:p>
    <w:p w:rsidR="00E543B0" w:rsidP="00E543B0" w:rsidRDefault="00E543B0">
      <w:pPr>
        <w:pStyle w:val="ad"/>
        <w:rPr>
          <w:rFonts w:ascii="David" w:hAnsi="David" w:cs="David"/>
          <w:sz w:val="24"/>
          <w:szCs w:val="24"/>
        </w:rPr>
      </w:pPr>
    </w:p>
    <w:p w:rsidR="00E543B0" w:rsidP="00E543B0" w:rsidRDefault="00E543B0">
      <w:pPr>
        <w:pStyle w:val="10"/>
        <w:numPr>
          <w:ilvl w:val="0"/>
          <w:numId w:val="1"/>
        </w:numPr>
        <w:spacing w:after="0" w:line="360" w:lineRule="auto"/>
        <w:jc w:val="both"/>
        <w:rPr>
          <w:rFonts w:ascii="David" w:hAnsi="David" w:cs="David"/>
          <w:sz w:val="24"/>
          <w:szCs w:val="24"/>
          <w:rtl/>
        </w:rPr>
      </w:pPr>
      <w:r>
        <w:rPr>
          <w:rFonts w:ascii="David" w:hAnsi="David" w:cs="David"/>
          <w:sz w:val="24"/>
          <w:szCs w:val="24"/>
          <w:rtl/>
        </w:rPr>
        <w:lastRenderedPageBreak/>
        <w:t xml:space="preserve">עוד נוסיף בהקשר זה כי במקרה דנן דברי לשון הרע עליהם נסוב התיק דנן מוסבים לדברים שזכרם מובא בפרוטוקול הדיון. לא דברים שנזרקו בחללו של אולם הדיונים וזכרם לא מצא לו ביטוי בפרוטוקול. </w:t>
      </w:r>
    </w:p>
    <w:p w:rsidR="00E543B0" w:rsidP="00E543B0" w:rsidRDefault="00E543B0">
      <w:pPr>
        <w:pStyle w:val="ad"/>
        <w:rPr>
          <w:rFonts w:ascii="David" w:hAnsi="David" w:cs="David"/>
          <w:sz w:val="24"/>
          <w:szCs w:val="24"/>
        </w:rPr>
      </w:pPr>
    </w:p>
    <w:p w:rsidR="00E543B0" w:rsidP="00E543B0" w:rsidRDefault="00E543B0">
      <w:pPr>
        <w:pStyle w:val="10"/>
        <w:numPr>
          <w:ilvl w:val="0"/>
          <w:numId w:val="1"/>
        </w:numPr>
        <w:spacing w:after="0" w:line="360" w:lineRule="auto"/>
        <w:jc w:val="both"/>
        <w:rPr>
          <w:rFonts w:ascii="David" w:hAnsi="David" w:cs="David"/>
          <w:sz w:val="24"/>
          <w:szCs w:val="24"/>
          <w:rtl/>
        </w:rPr>
      </w:pPr>
      <w:r>
        <w:rPr>
          <w:rFonts w:ascii="David" w:hAnsi="David" w:cs="David"/>
          <w:sz w:val="24"/>
          <w:szCs w:val="24"/>
          <w:rtl/>
        </w:rPr>
        <w:t>ודוק: תכליתו של הפרוטוקול כפי שהוא מעוגן בסי' 68א(א) לחוק בתי המשפט [נוסח משולב], תשמ"ד-1984 נועד להיות כזה שבכוחו לשקף את כל הנאמר והמתרחש בדיון והנוגע למשפט, לרבות שאלות והערות של בית המשפט. על פרוטוקול הדיון ככלי לשיקוף המתרחש והנאמר באולם המשפט אומר השופט אהרן ברק: "</w:t>
      </w:r>
      <w:r>
        <w:rPr>
          <w:rFonts w:ascii="Miriam" w:hAnsi="Miriam" w:cs="Miriam"/>
          <w:sz w:val="24"/>
          <w:szCs w:val="24"/>
          <w:rtl/>
        </w:rPr>
        <w:t>הפרוטוקול הוא כלי לשיקוף המציאות יכול להיות מלא או מתומצת. הוא חייב להיות אמיתי. אם האמת היא מרה, חייב הפרוטוקול לשקף (באופן מלא או מתומצת) אמת מרה זו. אין להוציא מהפרוטוקול דברים שאינם ראויים להישמע. אין לתקן פרוטוקול בשל אי הנחת (המוצדקת או הבלתי מוצדקת) מתוכנם של הדברים שנאמרו. הפרוטוקול הוא ''עיוור צבעים''. הוא צילום של מציאות. שינוי בפרוטוקול יכול להיעשות רק כדי להתאימו למציאות. אין לשנות את הפרוטוקול כדי שהלה לא ישקף את המציאות</w:t>
      </w:r>
      <w:r>
        <w:rPr>
          <w:rFonts w:ascii="David" w:hAnsi="David" w:cs="David"/>
          <w:sz w:val="24"/>
          <w:szCs w:val="24"/>
          <w:rtl/>
        </w:rPr>
        <w:t xml:space="preserve">" [בג"ץ 990/92 </w:t>
      </w:r>
      <w:r>
        <w:rPr>
          <w:rFonts w:ascii="David" w:hAnsi="David" w:cs="David"/>
          <w:b/>
          <w:bCs/>
          <w:sz w:val="24"/>
          <w:szCs w:val="24"/>
          <w:rtl/>
        </w:rPr>
        <w:t xml:space="preserve">מורדוב נ עיריית תל אביב, </w:t>
      </w:r>
      <w:r>
        <w:rPr>
          <w:rFonts w:ascii="David" w:hAnsi="David" w:cs="David"/>
          <w:sz w:val="24"/>
          <w:szCs w:val="24"/>
          <w:rtl/>
        </w:rPr>
        <w:t>פ"ד מז(1) 474 עמ' 478], עוד יפים בהקשר זה הדברים שנאמרו בפרשה אחרת: "</w:t>
      </w:r>
      <w:r>
        <w:rPr>
          <w:rFonts w:ascii="Miriam" w:hAnsi="Miriam" w:cs="Miriam"/>
          <w:sz w:val="24"/>
          <w:szCs w:val="24"/>
          <w:rtl/>
        </w:rPr>
        <w:t>הכל מסכימים כי פרוטוקול חייב לשקף את האמת בלי כחל-ושרק: גם אם אמת מרה היא, גם אם אמת מכוערת. פרוטוקול נדמה הוא למצלמה – בימינו נאמר: למצלמת וידיאו – ומצלמה תקלוט ותדפיס גם מחוזות שאינם מרניני לב. פרוטוקול חייב שיאמר אמת</w:t>
      </w:r>
      <w:r>
        <w:rPr>
          <w:rFonts w:ascii="David" w:hAnsi="David" w:cs="David"/>
          <w:sz w:val="24"/>
          <w:szCs w:val="24"/>
          <w:rtl/>
        </w:rPr>
        <w:t xml:space="preserve">"    [בג"ץ 954/97 </w:t>
      </w:r>
      <w:r>
        <w:rPr>
          <w:rFonts w:ascii="David" w:hAnsi="David" w:cs="David"/>
          <w:b/>
          <w:bCs/>
          <w:sz w:val="24"/>
          <w:szCs w:val="24"/>
          <w:rtl/>
        </w:rPr>
        <w:t xml:space="preserve">שלמה כהן עו"ד נ' ראשי לשכת עורכי הדין, </w:t>
      </w:r>
      <w:r>
        <w:rPr>
          <w:rFonts w:ascii="David" w:hAnsi="David" w:cs="David"/>
          <w:sz w:val="24"/>
          <w:szCs w:val="24"/>
          <w:rtl/>
        </w:rPr>
        <w:t>פ"ד נב(3) 486; עמ' 527] הנה כי כן "</w:t>
      </w:r>
      <w:r>
        <w:rPr>
          <w:rFonts w:ascii="Miriam" w:hAnsi="Miriam" w:cs="Miriam"/>
          <w:sz w:val="24"/>
          <w:szCs w:val="24"/>
          <w:rtl/>
        </w:rPr>
        <w:t>חובה היא על המוטלת על שופט היושב לדין לנהל פרוטוקול שישקף את המציאות למען לא תיפגענה זכויות בעלי הדין המופיעים לפניו</w:t>
      </w:r>
      <w:r>
        <w:rPr>
          <w:rFonts w:ascii="David" w:hAnsi="David" w:cs="David"/>
          <w:sz w:val="24"/>
          <w:szCs w:val="24"/>
          <w:rtl/>
        </w:rPr>
        <w:t xml:space="preserve">" [בד"מ 2461/05 </w:t>
      </w:r>
      <w:r>
        <w:rPr>
          <w:rFonts w:ascii="David" w:hAnsi="David" w:cs="David"/>
          <w:b/>
          <w:bCs/>
          <w:sz w:val="24"/>
          <w:szCs w:val="24"/>
          <w:rtl/>
        </w:rPr>
        <w:t xml:space="preserve">שרת המשפט נ' השופטת כהן, </w:t>
      </w:r>
      <w:r>
        <w:rPr>
          <w:rFonts w:ascii="David" w:hAnsi="David" w:cs="David"/>
          <w:sz w:val="24"/>
          <w:szCs w:val="24"/>
          <w:rtl/>
        </w:rPr>
        <w:t>פ"ד ס(1) 403, עמ' 445].</w:t>
      </w:r>
    </w:p>
    <w:p w:rsidR="00E543B0" w:rsidP="00E543B0" w:rsidRDefault="00E543B0">
      <w:pPr>
        <w:pStyle w:val="10"/>
        <w:spacing w:after="0" w:line="360" w:lineRule="auto"/>
        <w:jc w:val="both"/>
        <w:rPr>
          <w:rFonts w:ascii="David" w:hAnsi="David" w:cs="David"/>
          <w:sz w:val="24"/>
          <w:szCs w:val="24"/>
        </w:rPr>
      </w:pPr>
    </w:p>
    <w:p w:rsidR="00E543B0" w:rsidP="00E543B0" w:rsidRDefault="00E543B0">
      <w:pPr>
        <w:pStyle w:val="10"/>
        <w:numPr>
          <w:ilvl w:val="0"/>
          <w:numId w:val="1"/>
        </w:numPr>
        <w:spacing w:after="0" w:line="360" w:lineRule="auto"/>
        <w:jc w:val="both"/>
        <w:rPr>
          <w:rFonts w:ascii="David" w:hAnsi="David" w:cs="David"/>
          <w:sz w:val="24"/>
          <w:szCs w:val="24"/>
        </w:rPr>
      </w:pPr>
      <w:r>
        <w:rPr>
          <w:rFonts w:ascii="David" w:hAnsi="David" w:cs="David"/>
          <w:sz w:val="24"/>
          <w:szCs w:val="24"/>
          <w:rtl/>
        </w:rPr>
        <w:t xml:space="preserve">ובהקשר זה נוסיף ונדגיש כי יתרונו הגדול של פרוטוקול אשר על תוכנו אמון בית המשפט להבדיל מפרוטוקול מתומלל הוא בשליטתו של המותב על תוכנו. שבפרוטוקול מתומלל כל תג ותג ישתקף בפרוטוקול המתומלל ללא כל אבחנה האם הדברים רלוונטיים לדיון המשפטי ולבירור הפלוגתות. התמלול מכיל בתוכו לא מעט 'מיותר', כל התעטשות, כל ברכת נימוסין של 'בריאות' כל בקשה לסגירת מזגן או הדלקתו מתועדים, כל קריאת גנאי מתועדת וכל הערת ביניים נרשמת [ראו בהקשר זה רע"א 2193/08 </w:t>
      </w:r>
      <w:r>
        <w:rPr>
          <w:rFonts w:ascii="David" w:hAnsi="David" w:cs="David"/>
          <w:b/>
          <w:bCs/>
          <w:sz w:val="24"/>
          <w:szCs w:val="24"/>
          <w:rtl/>
        </w:rPr>
        <w:t>מנורה חברה לביטוח בע"מ ואח' נ' שלמי לובטון</w:t>
      </w:r>
      <w:r>
        <w:rPr>
          <w:rFonts w:ascii="David" w:hAnsi="David" w:cs="David"/>
          <w:sz w:val="24"/>
          <w:szCs w:val="24"/>
          <w:rtl/>
        </w:rPr>
        <w:t xml:space="preserve"> (נבו 16..3.2008)]. מנגד בפרוטוקול מוקלד המבוקר באמצעות שופט קיימת מערכת סינון שעסוקה בהפרדה של הבר מן המוץ, ולהכניס אל הפרוטוקול אך את הדברים המהותיים, משכך מקום שבית המשפט מצא לנכון להכניס אל הפרוטוקול דברים משמע שהוא מצא בהם חשובים לבירור הפלוגתאות, שאם לא כן לא היה מקום להכניסם, ויפים בהקשר זה : "</w:t>
      </w:r>
      <w:r>
        <w:rPr>
          <w:rFonts w:ascii="Miriam" w:hAnsi="Miriam" w:cs="Miriam"/>
          <w:sz w:val="24"/>
          <w:szCs w:val="24"/>
          <w:rtl/>
        </w:rPr>
        <w:t xml:space="preserve">פרוטוקול של ישיבות בית משפט בערכאה הראשונה אמור לשקף את עיקרי דברים שאירעו לפני בית המשפט – עדויות, טיעונים </w:t>
      </w:r>
      <w:r>
        <w:rPr>
          <w:rFonts w:ascii="Miriam" w:hAnsi="Miriam" w:cs="Miriam"/>
          <w:sz w:val="24"/>
          <w:szCs w:val="24"/>
          <w:rtl/>
        </w:rPr>
        <w:lastRenderedPageBreak/>
        <w:t>והתרחשויות...דברים שלא נרשמו בפרוטוקול חזקה עליהם שלא נאמרו או שבית המשפט לא מצאם ראויים להירשם באשר לא היה בהם כדי להשפיע על הדיון</w:t>
      </w:r>
      <w:r>
        <w:rPr>
          <w:rFonts w:ascii="David" w:hAnsi="David" w:cs="David"/>
          <w:sz w:val="24"/>
          <w:szCs w:val="24"/>
          <w:rtl/>
        </w:rPr>
        <w:t xml:space="preserve">" [ראו: ע"א 579/90 </w:t>
      </w:r>
      <w:r>
        <w:rPr>
          <w:rFonts w:ascii="David" w:hAnsi="David" w:cs="David"/>
          <w:b/>
          <w:bCs/>
          <w:sz w:val="24"/>
          <w:szCs w:val="24"/>
          <w:rtl/>
        </w:rPr>
        <w:t xml:space="preserve">רוזין נ' בן נון, </w:t>
      </w:r>
      <w:r>
        <w:rPr>
          <w:rFonts w:ascii="David" w:hAnsi="David" w:cs="David"/>
          <w:sz w:val="24"/>
          <w:szCs w:val="24"/>
          <w:rtl/>
        </w:rPr>
        <w:t>פ"ד מו(3) 738 עמ' 747]. ובמקום אחר אנו מוצאים: "</w:t>
      </w:r>
      <w:r>
        <w:rPr>
          <w:rFonts w:ascii="Miriam" w:hAnsi="Miriam" w:cs="Miriam"/>
          <w:sz w:val="24"/>
          <w:szCs w:val="24"/>
          <w:rtl/>
        </w:rPr>
        <w:t>אין שופט חייב לרשום בפרוטוקול כל מילה היוצאת מפי עורך הדין ודי בכך שהפרוטוקול ישקף בצורה מרוכזת ותמציתית את עיקרי הדברים</w:t>
      </w:r>
      <w:r>
        <w:rPr>
          <w:rFonts w:ascii="David" w:hAnsi="David" w:cs="David"/>
          <w:sz w:val="24"/>
          <w:szCs w:val="24"/>
          <w:rtl/>
        </w:rPr>
        <w:t xml:space="preserve">" [יואל זוסמן, </w:t>
      </w:r>
      <w:r>
        <w:rPr>
          <w:rFonts w:ascii="David" w:hAnsi="David" w:cs="David"/>
          <w:b/>
          <w:bCs/>
          <w:sz w:val="24"/>
          <w:szCs w:val="24"/>
          <w:rtl/>
        </w:rPr>
        <w:t xml:space="preserve">סדרי הדין האזרחי, </w:t>
      </w:r>
      <w:r>
        <w:rPr>
          <w:rFonts w:ascii="David" w:hAnsi="David" w:cs="David"/>
          <w:sz w:val="24"/>
          <w:szCs w:val="24"/>
          <w:rtl/>
        </w:rPr>
        <w:t>מהדורה שביעית, עמ' 514 (1995)</w:t>
      </w:r>
    </w:p>
    <w:p w:rsidR="00E543B0" w:rsidP="00E543B0" w:rsidRDefault="00E543B0">
      <w:pPr>
        <w:pStyle w:val="ad"/>
        <w:rPr>
          <w:rFonts w:ascii="David" w:hAnsi="David" w:cs="David"/>
          <w:sz w:val="24"/>
          <w:szCs w:val="24"/>
        </w:rPr>
      </w:pPr>
    </w:p>
    <w:p w:rsidR="00E543B0" w:rsidP="00E543B0" w:rsidRDefault="00E543B0">
      <w:pPr>
        <w:pStyle w:val="10"/>
        <w:numPr>
          <w:ilvl w:val="0"/>
          <w:numId w:val="1"/>
        </w:numPr>
        <w:spacing w:after="0" w:line="360" w:lineRule="auto"/>
        <w:jc w:val="both"/>
        <w:rPr>
          <w:rFonts w:ascii="David" w:hAnsi="David" w:cs="David"/>
          <w:sz w:val="24"/>
          <w:szCs w:val="24"/>
          <w:rtl/>
        </w:rPr>
      </w:pPr>
      <w:r>
        <w:rPr>
          <w:rFonts w:ascii="David" w:hAnsi="David" w:cs="David"/>
          <w:sz w:val="24"/>
          <w:szCs w:val="24"/>
          <w:rtl/>
        </w:rPr>
        <w:t xml:space="preserve">צא ולמד שאם המפקחת על הבתים המשותפים מצאה לנכון לצטט, להביא ולשקף את דברי הנתבע בפרוטוקול הדיון כנראה שהיה בדברים שאמר הנתבע כדי להשפיע ולתרום תרומה של ממש לדיון. שאם לא כן, או אם היו הדברים נאמרים כהתפרצות לא רצויה, ובמקרה דנן אם היו הדברים נאמרים, כפי שטוענת התובעת, תוך התפרצות של הנתבע לדיון או אמירת דברים ללא רשות ודאי שהדברים לא היו מוצאים הם את דרכם לפרוטוקול הדיון. וגם אם כן מדובר בהתפרצות היינו מוצאים את הערת המפקחת על הבתים המשותפים בדבר אופן ניהול הדיון והדוברים שבכוחם להשמיע דבריהם במהלך הדיון. </w:t>
      </w:r>
    </w:p>
    <w:p w:rsidR="00E543B0" w:rsidP="00E543B0" w:rsidRDefault="00E543B0">
      <w:pPr>
        <w:pStyle w:val="10"/>
        <w:rPr>
          <w:rFonts w:ascii="David" w:hAnsi="David" w:cs="David"/>
          <w:sz w:val="24"/>
          <w:szCs w:val="24"/>
          <w:rtl/>
        </w:rPr>
      </w:pPr>
    </w:p>
    <w:p w:rsidR="00E543B0" w:rsidP="00E543B0" w:rsidRDefault="00E543B0">
      <w:pPr>
        <w:pStyle w:val="10"/>
        <w:numPr>
          <w:ilvl w:val="0"/>
          <w:numId w:val="1"/>
        </w:numPr>
        <w:spacing w:after="0" w:line="360" w:lineRule="auto"/>
        <w:jc w:val="both"/>
        <w:rPr>
          <w:rFonts w:ascii="David" w:hAnsi="David" w:cs="David"/>
          <w:sz w:val="24"/>
          <w:szCs w:val="24"/>
        </w:rPr>
      </w:pPr>
      <w:r>
        <w:rPr>
          <w:rFonts w:ascii="David" w:hAnsi="David" w:cs="David"/>
          <w:sz w:val="24"/>
          <w:szCs w:val="24"/>
          <w:rtl/>
        </w:rPr>
        <w:t xml:space="preserve">צא ולמד כי גם במקרה דנן לא מצאנו לנכון לחרוג מדעת הרוב כפי שזו נפסקה </w:t>
      </w:r>
      <w:r>
        <w:rPr>
          <w:rFonts w:ascii="David" w:hAnsi="David" w:cs="David"/>
          <w:b/>
          <w:bCs/>
          <w:sz w:val="24"/>
          <w:szCs w:val="24"/>
          <w:rtl/>
        </w:rPr>
        <w:t>בהלכת חיר</w:t>
      </w:r>
      <w:r>
        <w:rPr>
          <w:rFonts w:ascii="David" w:hAnsi="David" w:cs="David"/>
          <w:sz w:val="24"/>
          <w:szCs w:val="24"/>
          <w:rtl/>
        </w:rPr>
        <w:t>, ולפיה החיסיון המוענק לפרסומי לשון הרע במהלך ניהול הליך שיפוטי, מכח סע' 13(5)</w:t>
      </w:r>
      <w:r>
        <w:rPr>
          <w:rFonts w:ascii="David" w:hAnsi="David" w:cs="David"/>
          <w:sz w:val="24"/>
          <w:szCs w:val="24"/>
        </w:rPr>
        <w:t xml:space="preserve"> </w:t>
      </w:r>
      <w:r>
        <w:rPr>
          <w:rFonts w:ascii="David" w:hAnsi="David" w:cs="David"/>
          <w:sz w:val="24"/>
          <w:szCs w:val="24"/>
          <w:rtl/>
        </w:rPr>
        <w:t xml:space="preserve">לחוק איסור לשון הרע הוא חסיון מוחלט וזאת בשים לב לאימוצה בפסיקת בתי המשפט [וראו רע"א 4512/20  </w:t>
      </w:r>
      <w:r>
        <w:rPr>
          <w:rFonts w:ascii="David" w:hAnsi="David" w:cs="David"/>
          <w:b/>
          <w:bCs/>
          <w:sz w:val="24"/>
          <w:szCs w:val="24"/>
          <w:rtl/>
        </w:rPr>
        <w:t xml:space="preserve">חברת מנו ספנות בע"מ נ' מעין בלס, </w:t>
      </w:r>
      <w:r>
        <w:rPr>
          <w:rFonts w:ascii="David" w:hAnsi="David" w:cs="David"/>
          <w:sz w:val="24"/>
          <w:szCs w:val="24"/>
          <w:rtl/>
        </w:rPr>
        <w:t xml:space="preserve">(נבו)(14.10.2020); ע"א (מחוזי-תל אביב) 59304-06-25 </w:t>
      </w:r>
      <w:r>
        <w:rPr>
          <w:rFonts w:ascii="David" w:hAnsi="David" w:cs="David"/>
          <w:b/>
          <w:bCs/>
          <w:sz w:val="24"/>
          <w:szCs w:val="24"/>
          <w:rtl/>
        </w:rPr>
        <w:t>איציק מזרחי נ' חביב (אביב) נקש</w:t>
      </w:r>
      <w:r>
        <w:rPr>
          <w:rFonts w:ascii="David" w:hAnsi="David" w:cs="David"/>
          <w:sz w:val="24"/>
          <w:szCs w:val="24"/>
          <w:rtl/>
        </w:rPr>
        <w:t xml:space="preserve"> (נבו)(3.11.2024) ת"א (מחוזי-תל אביב) 1775-08-20 </w:t>
      </w:r>
      <w:r>
        <w:rPr>
          <w:rFonts w:ascii="David" w:hAnsi="David" w:cs="David"/>
          <w:b/>
          <w:bCs/>
          <w:sz w:val="24"/>
          <w:szCs w:val="24"/>
          <w:rtl/>
        </w:rPr>
        <w:t>מנשה יוסף נ' עזרא קליגר</w:t>
      </w:r>
      <w:r>
        <w:rPr>
          <w:rFonts w:ascii="David" w:hAnsi="David" w:cs="David"/>
          <w:sz w:val="24"/>
          <w:szCs w:val="24"/>
          <w:rtl/>
        </w:rPr>
        <w:t xml:space="preserve"> (נבו)(11.7.2024); עמ"ש (מחוזי-מרכז) 53338-03-22 </w:t>
      </w:r>
      <w:r>
        <w:rPr>
          <w:rFonts w:ascii="David" w:hAnsi="David" w:cs="David"/>
          <w:b/>
          <w:bCs/>
          <w:sz w:val="24"/>
          <w:szCs w:val="24"/>
          <w:rtl/>
        </w:rPr>
        <w:t xml:space="preserve">א.ס. נ' ל.ס </w:t>
      </w:r>
      <w:r>
        <w:rPr>
          <w:rFonts w:ascii="David" w:hAnsi="David" w:cs="David"/>
          <w:sz w:val="24"/>
          <w:szCs w:val="24"/>
          <w:rtl/>
        </w:rPr>
        <w:t>(נבן)(4.3.2023)].</w:t>
      </w:r>
    </w:p>
    <w:p w:rsidR="00E543B0" w:rsidP="00E543B0" w:rsidRDefault="00E543B0">
      <w:pPr>
        <w:pStyle w:val="ad"/>
        <w:rPr>
          <w:rFonts w:ascii="David" w:hAnsi="David" w:cs="David"/>
          <w:sz w:val="24"/>
          <w:szCs w:val="24"/>
        </w:rPr>
      </w:pPr>
    </w:p>
    <w:p w:rsidR="00E543B0" w:rsidP="00E543B0" w:rsidRDefault="00E543B0">
      <w:pPr>
        <w:pStyle w:val="10"/>
        <w:numPr>
          <w:ilvl w:val="0"/>
          <w:numId w:val="1"/>
        </w:numPr>
        <w:spacing w:after="0" w:line="360" w:lineRule="auto"/>
        <w:jc w:val="both"/>
        <w:rPr>
          <w:rFonts w:ascii="David" w:hAnsi="David" w:cs="David"/>
          <w:sz w:val="24"/>
          <w:szCs w:val="24"/>
          <w:rtl/>
        </w:rPr>
      </w:pPr>
      <w:r>
        <w:rPr>
          <w:rFonts w:ascii="David" w:hAnsi="David" w:cs="David"/>
          <w:sz w:val="24"/>
          <w:szCs w:val="24"/>
          <w:rtl/>
        </w:rPr>
        <w:t xml:space="preserve">בנסיבות העניין כל הדרכים מובילות למסקנה שעניין לנו במקרה שחוסה תחת ההגנה המנויה בסע' 13(5) לחוק איסור לשון הרע. שכן מדובר בדברים שנאמרו במהלך דיון, כאשר מדובר בדיון המתנהל בפני המפקחת על הבתים המשותפים, כאשר הנתבע הינו בעל זכויות בחלקים מסוימים במקרקעין, כאשר הדיון מתנהל אל מול נציגות הבית המשותף, כאשר מדובר בפרוטוקול שהמנוי והמובא בו נעשה בפיקוח של המפקחת על הבתים המשותפים, ואשר אלמלא תרומתם של הדברים לדיון לא היו הדברים שהתובעת טוענת להם שהם לשון הרע, מוצאים דרכם אל פרוטוקול הדיון. </w:t>
      </w:r>
    </w:p>
    <w:p w:rsidR="00E543B0" w:rsidP="00E543B0" w:rsidRDefault="00E543B0">
      <w:pPr>
        <w:pStyle w:val="ad"/>
        <w:rPr>
          <w:rFonts w:ascii="David" w:hAnsi="David" w:cs="David"/>
          <w:sz w:val="24"/>
          <w:szCs w:val="24"/>
        </w:rPr>
      </w:pPr>
    </w:p>
    <w:p w:rsidR="00E543B0" w:rsidP="00E543B0" w:rsidRDefault="00E543B0">
      <w:pPr>
        <w:pStyle w:val="10"/>
        <w:numPr>
          <w:ilvl w:val="0"/>
          <w:numId w:val="1"/>
        </w:numPr>
        <w:spacing w:after="0" w:line="360" w:lineRule="auto"/>
        <w:jc w:val="both"/>
        <w:rPr>
          <w:rFonts w:ascii="David" w:hAnsi="David" w:cs="David"/>
          <w:sz w:val="24"/>
          <w:szCs w:val="24"/>
          <w:rtl/>
        </w:rPr>
      </w:pPr>
      <w:r>
        <w:rPr>
          <w:rFonts w:ascii="David" w:hAnsi="David" w:cs="David"/>
          <w:sz w:val="24"/>
          <w:szCs w:val="24"/>
          <w:rtl/>
        </w:rPr>
        <w:t xml:space="preserve">ומשמצודתה של החסינות נפרסה הרי שהיא תציל גם מפני פרסומים כוזבים, או כאלו שנעשו במתכוון. </w:t>
      </w:r>
    </w:p>
    <w:p w:rsidR="00E543B0" w:rsidP="00E543B0" w:rsidRDefault="00E543B0">
      <w:pPr>
        <w:pStyle w:val="10"/>
        <w:rPr>
          <w:rFonts w:ascii="David" w:hAnsi="David" w:cs="David"/>
          <w:sz w:val="24"/>
          <w:szCs w:val="24"/>
          <w:rtl/>
        </w:rPr>
      </w:pPr>
    </w:p>
    <w:p w:rsidR="00E543B0" w:rsidP="00E543B0" w:rsidRDefault="00E543B0">
      <w:pPr>
        <w:pStyle w:val="10"/>
        <w:numPr>
          <w:ilvl w:val="0"/>
          <w:numId w:val="1"/>
        </w:numPr>
        <w:spacing w:after="0" w:line="360" w:lineRule="auto"/>
        <w:jc w:val="both"/>
        <w:rPr>
          <w:rFonts w:ascii="David" w:hAnsi="David" w:cs="David"/>
          <w:sz w:val="24"/>
          <w:szCs w:val="24"/>
        </w:rPr>
      </w:pPr>
      <w:r>
        <w:rPr>
          <w:rFonts w:ascii="David" w:hAnsi="David" w:cs="David"/>
          <w:sz w:val="24"/>
          <w:szCs w:val="24"/>
          <w:rtl/>
        </w:rPr>
        <w:lastRenderedPageBreak/>
        <w:t xml:space="preserve">את הדיון יכולנו לחתום כאן, אולם למעלה מן הצורך נבקש לעמוד, בקצירת האומר על דברים אחדים נוספים. </w:t>
      </w:r>
    </w:p>
    <w:p w:rsidR="00E543B0" w:rsidP="00E543B0" w:rsidRDefault="00E543B0">
      <w:pPr>
        <w:ind w:left="360"/>
        <w:rPr>
          <w:rFonts w:ascii="David" w:hAnsi="David"/>
        </w:rPr>
      </w:pPr>
    </w:p>
    <w:p w:rsidR="00E543B0" w:rsidP="00E543B0" w:rsidRDefault="00E543B0">
      <w:pPr>
        <w:ind w:left="360"/>
        <w:rPr>
          <w:rFonts w:ascii="David" w:hAnsi="David"/>
          <w:rtl/>
        </w:rPr>
      </w:pPr>
    </w:p>
    <w:p w:rsidR="00E543B0" w:rsidP="00E543B0" w:rsidRDefault="00E543B0">
      <w:pPr>
        <w:ind w:left="360"/>
        <w:rPr>
          <w:rFonts w:ascii="Miriam" w:hAnsi="Miriam" w:cs="Miriam"/>
          <w:u w:val="single"/>
          <w:rtl/>
        </w:rPr>
      </w:pPr>
      <w:r>
        <w:rPr>
          <w:rFonts w:ascii="Miriam" w:hAnsi="Miriam" w:cs="Miriam"/>
          <w:u w:val="single"/>
          <w:rtl/>
        </w:rPr>
        <w:t>האמנם הדברים שהובאו בפרוטוקול הדיון עולים כדי לשון הרע?</w:t>
      </w:r>
    </w:p>
    <w:p w:rsidR="00E543B0" w:rsidP="00E543B0" w:rsidRDefault="00E543B0">
      <w:pPr>
        <w:ind w:left="360"/>
        <w:rPr>
          <w:rFonts w:ascii="Miriam" w:hAnsi="Miriam" w:cs="Miriam"/>
          <w:u w:val="single"/>
          <w:rtl/>
        </w:rPr>
      </w:pPr>
    </w:p>
    <w:p w:rsidR="00E543B0" w:rsidP="00E543B0" w:rsidRDefault="00E543B0">
      <w:pPr>
        <w:pStyle w:val="10"/>
        <w:numPr>
          <w:ilvl w:val="0"/>
          <w:numId w:val="1"/>
        </w:numPr>
        <w:spacing w:after="0" w:line="360" w:lineRule="auto"/>
        <w:jc w:val="both"/>
        <w:rPr>
          <w:rFonts w:ascii="David" w:hAnsi="David" w:cs="David"/>
          <w:sz w:val="24"/>
          <w:szCs w:val="24"/>
          <w:rtl/>
        </w:rPr>
      </w:pPr>
      <w:r>
        <w:rPr>
          <w:rFonts w:ascii="David" w:hAnsi="David" w:cs="David"/>
          <w:sz w:val="24"/>
          <w:szCs w:val="24"/>
          <w:rtl/>
        </w:rPr>
        <w:t xml:space="preserve">חרף המסקנה שההגנה המנויה בסע' 13(5) לחוק איסור לשון הרע חלה .הרי שגם אם מקום וההגנה זו לא היתה חלה השאלה המתבקשת היא האם הדברים אכן עולים כדי לשון הרע. אם נשוב אל הדברים שהובאו בפרוטוקול מפיו של הנתבע ואשר מצויים בליבת תובענה זו הרי שכך אומר הנתבע על התובעת </w:t>
      </w:r>
      <w:r>
        <w:rPr>
          <w:rFonts w:ascii="Miriam" w:hAnsi="Miriam" w:cs="Miriam"/>
          <w:sz w:val="24"/>
          <w:szCs w:val="24"/>
          <w:rtl/>
        </w:rPr>
        <w:t>"גב' קוטאי והיא חתכה במזיד את החשמל במדרגות, במשך 10 חודשים לא היה חשמל מדרגות בבניין"</w:t>
      </w:r>
      <w:r>
        <w:rPr>
          <w:rFonts w:ascii="David" w:hAnsi="David" w:cs="David"/>
          <w:sz w:val="24"/>
          <w:szCs w:val="24"/>
          <w:rtl/>
        </w:rPr>
        <w:t>.</w:t>
      </w:r>
    </w:p>
    <w:p w:rsidR="00E543B0" w:rsidP="00E543B0" w:rsidRDefault="00E543B0">
      <w:pPr>
        <w:pStyle w:val="ad"/>
        <w:rPr>
          <w:rFonts w:ascii="David" w:hAnsi="David" w:cs="David"/>
          <w:sz w:val="24"/>
          <w:szCs w:val="24"/>
        </w:rPr>
      </w:pPr>
    </w:p>
    <w:p w:rsidR="00E543B0" w:rsidP="00E543B0" w:rsidRDefault="00E543B0">
      <w:pPr>
        <w:pStyle w:val="2"/>
        <w:numPr>
          <w:ilvl w:val="0"/>
          <w:numId w:val="1"/>
        </w:numPr>
        <w:spacing w:after="0" w:line="360" w:lineRule="auto"/>
        <w:jc w:val="both"/>
        <w:rPr>
          <w:rFonts w:ascii="David" w:hAnsi="David" w:cs="David"/>
          <w:sz w:val="24"/>
          <w:szCs w:val="24"/>
          <w:rtl/>
        </w:rPr>
      </w:pPr>
      <w:r>
        <w:rPr>
          <w:rFonts w:ascii="David" w:hAnsi="David" w:cs="David"/>
          <w:sz w:val="24"/>
          <w:szCs w:val="24"/>
          <w:rtl/>
        </w:rPr>
        <w:t xml:space="preserve">האם כל לשון הרע או כל אמירה שעולה כדי איסור לשון הרע כמשמעותה בסע' 1 לחוק איסור לשון הרע מצמיחה עילת תביעה - דומה שהתשובה היא לא. ובהקשר זה </w:t>
      </w:r>
      <w:r>
        <w:rPr>
          <w:rFonts w:ascii="Miriam" w:hAnsi="Miriam" w:cs="Miriam"/>
          <w:sz w:val="24"/>
          <w:szCs w:val="24"/>
          <w:rtl/>
        </w:rPr>
        <w:t>"יש דעה בעליון"</w:t>
      </w:r>
      <w:r>
        <w:rPr>
          <w:rFonts w:ascii="David" w:hAnsi="David" w:cs="David"/>
          <w:sz w:val="24"/>
          <w:szCs w:val="24"/>
          <w:rtl/>
        </w:rPr>
        <w:t xml:space="preserve"> [</w:t>
      </w:r>
      <w:r>
        <w:rPr>
          <w:rFonts w:ascii="David" w:hAnsi="David" w:cs="David"/>
          <w:b/>
          <w:bCs/>
          <w:sz w:val="24"/>
          <w:szCs w:val="24"/>
          <w:rtl/>
        </w:rPr>
        <w:t>תהלים</w:t>
      </w:r>
      <w:r>
        <w:rPr>
          <w:rFonts w:ascii="David" w:hAnsi="David" w:cs="David"/>
          <w:sz w:val="24"/>
          <w:szCs w:val="24"/>
          <w:rtl/>
        </w:rPr>
        <w:t xml:space="preserve"> עג, יא] "</w:t>
      </w:r>
      <w:r>
        <w:rPr>
          <w:rFonts w:ascii="Miriam" w:hAnsi="Miriam" w:cs="Miriam"/>
          <w:sz w:val="24"/>
          <w:szCs w:val="24"/>
          <w:rtl/>
        </w:rPr>
        <w:t>כשם שלא כל קריאת גנאי ברחובה של עיר מקימה עילת תביעה, כך אף לא כל פרסום מגנה ומגונה באינטרנט מהווה עילה. רבות מן התגוביות באינטרנט הן דברי הבל ברמה ירודה. שכל בר דעת מבין כי אין לייחס להן כל משקל וערכן העוולתי הוא בהתאם"</w:t>
      </w:r>
      <w:r>
        <w:rPr>
          <w:rFonts w:ascii="David" w:hAnsi="David" w:cs="David"/>
          <w:sz w:val="24"/>
          <w:szCs w:val="24"/>
          <w:rtl/>
        </w:rPr>
        <w:t xml:space="preserve"> [רע"א 4447/07 </w:t>
      </w:r>
      <w:r>
        <w:rPr>
          <w:rFonts w:ascii="David" w:hAnsi="David" w:cs="David"/>
          <w:b/>
          <w:bCs/>
          <w:sz w:val="24"/>
          <w:szCs w:val="24"/>
          <w:rtl/>
        </w:rPr>
        <w:t xml:space="preserve">מור נ' ברק אי.טי.סי [1995] החברה לשירותי בזק בינלאומיים בע"מ </w:t>
      </w:r>
      <w:r>
        <w:rPr>
          <w:rFonts w:ascii="David" w:hAnsi="David" w:cs="David"/>
          <w:sz w:val="24"/>
          <w:szCs w:val="24"/>
          <w:rtl/>
        </w:rPr>
        <w:t>פ"ד סג(3) 664], במילים אחרות מורה לנו בית המשפט העליון שיכול ומצאו מצבים שעל אף העובדה שהדברים  צורמים לאוזן, כמו מילים שיש בהן כדי לחסות תחת הקטגוריה של מילות גנאי ואשר מוטחות ומופנות לאדם ולמרות זאת הן לא בהכרח יצמיחו עוולה שתניב פיצוי בגין אותם הדברים.</w:t>
      </w:r>
    </w:p>
    <w:p w:rsidR="00E543B0" w:rsidP="00E543B0" w:rsidRDefault="00E543B0">
      <w:pPr>
        <w:pStyle w:val="ad"/>
        <w:rPr>
          <w:rFonts w:ascii="David" w:hAnsi="David" w:cs="David"/>
          <w:sz w:val="24"/>
          <w:szCs w:val="24"/>
          <w:rtl/>
        </w:rPr>
      </w:pPr>
    </w:p>
    <w:p w:rsidR="00E543B0" w:rsidP="00E543B0" w:rsidRDefault="00E543B0">
      <w:pPr>
        <w:pStyle w:val="ad"/>
        <w:numPr>
          <w:ilvl w:val="0"/>
          <w:numId w:val="1"/>
        </w:numPr>
        <w:spacing w:line="360" w:lineRule="auto"/>
        <w:jc w:val="both"/>
        <w:rPr>
          <w:rFonts w:ascii="David" w:hAnsi="David" w:cs="David"/>
          <w:sz w:val="24"/>
          <w:szCs w:val="24"/>
          <w:rtl/>
        </w:rPr>
      </w:pPr>
      <w:r>
        <w:rPr>
          <w:rFonts w:ascii="David" w:hAnsi="David" w:cs="David"/>
          <w:sz w:val="24"/>
          <w:szCs w:val="24"/>
          <w:rtl/>
        </w:rPr>
        <w:t>לטענת התובעת דבריו של הנתבע עולים כדי לשון הרע מהטעם, וכך טוענת התובעת, שהאדם הסביר יבין כי התובעת, הינה עבריינית המסכנת את הציבור לחילופין חולת נפש המסכנת את עצמה ואת הציבור, כמו כן התובעת מנצלת את תפקידה הציבורי לרעה [סע' ב לסיכומי התובעת]. דומה כי הפרשנות המוצעת של התובעת רחוקה מהפרשנות של אדם סביר למשמע המילים והדברים שהשמיע הנתבע. אולם האם בהכרח זו הפרשנות היחידה הבוקעת מהדברים הרי תשובה לכך היא לא. דומה כי הנתבעת הפליגה אל מחוזות קיצוניים רחוקים מהסברא והשכל הישר. ובהקשר זה ראוי לשוב ולהיזכר בדברים שכתב פרופ' אבי שגיא ואשר יש בהם כדי לתמצת את תכליתו של האדם וכך הוא משמיע לנו: פרופ' אבי שגיא במבוא לסדרת הספרים ''פרשנות ותרבות'' ואשר נפתחת בהקדמה הבאה: "</w:t>
      </w:r>
      <w:r>
        <w:rPr>
          <w:rFonts w:ascii="Miriam" w:hAnsi="Miriam" w:cs="Miriam"/>
          <w:sz w:val="24"/>
          <w:szCs w:val="24"/>
          <w:rtl/>
        </w:rPr>
        <w:t xml:space="preserve">האדם הוא יש מפרש. בני אדם, יחידים וחברות, מנהלים את חייהם תוך פירוש מתמיד של מעשיהם, ערכיהם, עולמם ומכלול פעילותם. מעשה פרשנות אינו רק נחלתם של חוקרי תרבות, אלא הוא בראש ובראשונה נחלתו של האדם הפועל בעולם והמנסה באופן מתמיד לתת פשר למרחבים השונים שבהם הוא פעיל. הפעילות הפרשנית היא </w:t>
      </w:r>
      <w:r>
        <w:rPr>
          <w:rFonts w:ascii="Miriam" w:hAnsi="Miriam" w:cs="Miriam"/>
          <w:sz w:val="24"/>
          <w:szCs w:val="24"/>
          <w:rtl/>
        </w:rPr>
        <w:lastRenderedPageBreak/>
        <w:t>אחד ממאפייניו הבולטים של הקיום האנושי</w:t>
      </w:r>
      <w:r>
        <w:rPr>
          <w:rFonts w:ascii="David" w:hAnsi="David" w:cs="David"/>
          <w:sz w:val="24"/>
          <w:szCs w:val="24"/>
          <w:rtl/>
        </w:rPr>
        <w:t>". במקרה דנן פרשנות התובעת אותה היא מבקשת לתת לדברים עולה כדי עיוות הדברים.</w:t>
      </w:r>
    </w:p>
    <w:p w:rsidR="00E543B0" w:rsidP="00E543B0" w:rsidRDefault="00E543B0">
      <w:pPr>
        <w:pStyle w:val="10"/>
        <w:numPr>
          <w:ilvl w:val="0"/>
          <w:numId w:val="1"/>
        </w:numPr>
        <w:spacing w:after="0" w:line="360" w:lineRule="auto"/>
        <w:jc w:val="both"/>
        <w:rPr>
          <w:rFonts w:ascii="David" w:hAnsi="David" w:cs="David"/>
          <w:sz w:val="24"/>
          <w:szCs w:val="24"/>
        </w:rPr>
      </w:pPr>
      <w:r>
        <w:rPr>
          <w:rFonts w:ascii="David" w:hAnsi="David" w:cs="David"/>
          <w:sz w:val="24"/>
          <w:szCs w:val="24"/>
          <w:rtl/>
        </w:rPr>
        <w:t>בהקשר של פרשנות דברים ניתן להסתייע בכלל התלמודי הקובע: "</w:t>
      </w:r>
      <w:r>
        <w:rPr>
          <w:rFonts w:ascii="Miriam" w:hAnsi="Miriam" w:cs="Miriam"/>
          <w:sz w:val="24"/>
          <w:szCs w:val="24"/>
          <w:rtl/>
        </w:rPr>
        <w:t>אין מקרא יוצא מידי פשוטו</w:t>
      </w:r>
      <w:r>
        <w:rPr>
          <w:rFonts w:ascii="David" w:hAnsi="David" w:cs="David"/>
          <w:sz w:val="24"/>
          <w:szCs w:val="24"/>
          <w:rtl/>
        </w:rPr>
        <w:t xml:space="preserve">" [מופיע פעמים רבות בתלמוד ראו: </w:t>
      </w:r>
      <w:r>
        <w:rPr>
          <w:rFonts w:ascii="David" w:hAnsi="David" w:cs="David"/>
          <w:b/>
          <w:bCs/>
          <w:sz w:val="24"/>
          <w:szCs w:val="24"/>
          <w:rtl/>
        </w:rPr>
        <w:t>בבלי שבת</w:t>
      </w:r>
      <w:r>
        <w:rPr>
          <w:rFonts w:ascii="David" w:hAnsi="David" w:cs="David"/>
          <w:sz w:val="24"/>
          <w:szCs w:val="24"/>
          <w:rtl/>
        </w:rPr>
        <w:t xml:space="preserve"> סג, ע"א, </w:t>
      </w:r>
      <w:r>
        <w:rPr>
          <w:rFonts w:ascii="David" w:hAnsi="David" w:cs="David"/>
          <w:b/>
          <w:bCs/>
          <w:sz w:val="24"/>
          <w:szCs w:val="24"/>
          <w:rtl/>
        </w:rPr>
        <w:t xml:space="preserve">יבמות </w:t>
      </w:r>
      <w:r>
        <w:rPr>
          <w:rFonts w:ascii="David" w:hAnsi="David" w:cs="David"/>
          <w:sz w:val="24"/>
          <w:szCs w:val="24"/>
          <w:rtl/>
        </w:rPr>
        <w:t>כד, ע"א; ] ביטוי זה שמקורו ביחס לדברי התנ"ך-המקרא, ואשר מבקש לבטא את הרעיון לפיו אין בכוחה של כח 'הדרשה' לשלול את פשט הכתוב. מטבע לשון זה הפך לביטוי שמבקש להניח כהנחת יסוד פרשנית את העקרון לפיו שאת הכתובים ניתן לפרש על פי ההסבר המילולי הפשטני. לעיתים אין צורך ללכת רחוק ויש לצדד בפשט יותר מאשר בפלפולים. כלל תלמודי זה יכול לסייע לנו בהבנת הדברים בשיח אנושי שמתנהל בין אנשים. אין כל חובה לקרוא את מה שלא נאמר, אין כל הגיון לבכר 'הסלמה' על פני פשט הדברים מקום שאלו יכולים להוריד את גובה הלהבות. אין בית משפט צריך לילך שבי אחר פרשנות של התובע המבקש להציע פרשנות דחוקה ואולי אף בבחינת 'דרש' ולא 'פשט'.</w:t>
      </w:r>
    </w:p>
    <w:p w:rsidR="00E543B0" w:rsidP="00E543B0" w:rsidRDefault="00E543B0">
      <w:pPr>
        <w:pStyle w:val="10"/>
        <w:spacing w:after="0" w:line="360" w:lineRule="auto"/>
        <w:jc w:val="both"/>
        <w:rPr>
          <w:rFonts w:ascii="David" w:hAnsi="David" w:cs="David"/>
          <w:sz w:val="24"/>
          <w:szCs w:val="24"/>
        </w:rPr>
      </w:pPr>
    </w:p>
    <w:p w:rsidR="00E543B0" w:rsidP="00E543B0" w:rsidRDefault="00E543B0">
      <w:pPr>
        <w:pStyle w:val="2"/>
        <w:numPr>
          <w:ilvl w:val="0"/>
          <w:numId w:val="1"/>
        </w:numPr>
        <w:spacing w:after="0" w:line="360" w:lineRule="auto"/>
        <w:jc w:val="both"/>
        <w:rPr>
          <w:rFonts w:ascii="David" w:hAnsi="David" w:cs="David"/>
          <w:sz w:val="24"/>
          <w:szCs w:val="24"/>
        </w:rPr>
      </w:pPr>
      <w:r>
        <w:rPr>
          <w:rFonts w:ascii="David" w:hAnsi="David" w:cs="David"/>
          <w:sz w:val="24"/>
          <w:szCs w:val="24"/>
          <w:rtl/>
        </w:rPr>
        <w:t>התפיסה לפיה 'אין מקרא יוצא מידי פשוטו מתיישב היטב עם המבחן לקיומה של לשון הרע, מבחן המניח את הפרשנות האובייקטיבית המושתת על נקודת המבט של ''האדם הסביר'', ולא על תחושתו הסובייקטיבית של הנפגע, או על תחושת העלבון של התובע. ובלשונו של בית המשפט העליון: "</w:t>
      </w:r>
      <w:r>
        <w:rPr>
          <w:rFonts w:ascii="Miriam" w:hAnsi="Miriam" w:cs="Miriam"/>
          <w:sz w:val="24"/>
          <w:szCs w:val="24"/>
          <w:rtl/>
        </w:rPr>
        <w:t>כבר נקבע בפסיקתנו כי המבחן בעניין זה הוא אובייקטיבי: מהו המובן שהאדם הסביר והרגיל היה מייחס לפרסום</w:t>
      </w:r>
      <w:r>
        <w:rPr>
          <w:rFonts w:ascii="David" w:hAnsi="David" w:cs="David"/>
          <w:sz w:val="24"/>
          <w:szCs w:val="24"/>
          <w:rtl/>
        </w:rPr>
        <w:t xml:space="preserve">, ואם היה באותו מובן כדי לפגוע בשמו הטוב של התובע. בהתאם לכך אין חשיבות לכוונת המפרסם או לדרך שבה הובן הפרסום על ידי הטוען לפגיעה בו" עוד מוסיף בית המשפט ומשמיע לנו את דרך הפרשנות הראויה, וכך ממשיך בית המשפט ומשמיע לנו: </w:t>
      </w:r>
      <w:r>
        <w:rPr>
          <w:rFonts w:ascii="Miriam" w:hAnsi="Miriam" w:cs="Miriam"/>
          <w:sz w:val="24"/>
          <w:szCs w:val="24"/>
          <w:rtl/>
        </w:rPr>
        <w:t>"ככלל, על</w:t>
      </w:r>
      <w:r>
        <w:rPr>
          <w:rFonts w:ascii="Miriam" w:hAnsi="Miriam" w:cs="Miriam"/>
          <w:position w:val="4"/>
          <w:sz w:val="24"/>
          <w:szCs w:val="24"/>
          <w:rtl/>
        </w:rPr>
        <w:t>-</w:t>
      </w:r>
      <w:r>
        <w:rPr>
          <w:rFonts w:ascii="Miriam" w:hAnsi="Miriam" w:cs="Miriam"/>
          <w:sz w:val="24"/>
          <w:szCs w:val="24"/>
          <w:rtl/>
        </w:rPr>
        <w:t>מנת לקבוע אם יש בפרסום לשון הרע, יפרש בית</w:t>
      </w:r>
      <w:r>
        <w:rPr>
          <w:rFonts w:ascii="Miriam" w:hAnsi="Miriam" w:cs="Miriam"/>
          <w:position w:val="4"/>
          <w:sz w:val="24"/>
          <w:szCs w:val="24"/>
          <w:rtl/>
        </w:rPr>
        <w:t>-</w:t>
      </w:r>
      <w:r>
        <w:rPr>
          <w:rFonts w:ascii="Miriam" w:hAnsi="Miriam" w:cs="Miriam"/>
          <w:sz w:val="24"/>
          <w:szCs w:val="24"/>
          <w:rtl/>
        </w:rPr>
        <w:t>המשפט את הפרסום על</w:t>
      </w:r>
      <w:r>
        <w:rPr>
          <w:rFonts w:ascii="Miriam" w:hAnsi="Miriam" w:cs="Miriam"/>
          <w:position w:val="4"/>
          <w:sz w:val="24"/>
          <w:szCs w:val="24"/>
          <w:rtl/>
        </w:rPr>
        <w:t>-</w:t>
      </w:r>
      <w:r>
        <w:rPr>
          <w:rFonts w:ascii="Miriam" w:hAnsi="Miriam" w:cs="Miriam"/>
          <w:sz w:val="24"/>
          <w:szCs w:val="24"/>
          <w:rtl/>
        </w:rPr>
        <w:t>פי</w:t>
      </w:r>
      <w:r>
        <w:rPr>
          <w:rFonts w:ascii="Miriam" w:hAnsi="Miriam" w:cs="Miriam"/>
          <w:sz w:val="24"/>
          <w:szCs w:val="24"/>
        </w:rPr>
        <w:t xml:space="preserve"> </w:t>
      </w:r>
      <w:r>
        <w:rPr>
          <w:rFonts w:ascii="Miriam" w:hAnsi="Miriam" w:cs="Miriam"/>
          <w:sz w:val="24"/>
          <w:szCs w:val="24"/>
          <w:rtl/>
        </w:rPr>
        <w:t xml:space="preserve">המובן הטבעי והרגיל של מילותיו. עם זאת לעתים לשון הרע שבפרסום אינה נובעת מן המשמעות הפשוטה של מילותיו, אלא דווקא מן הנרמז או המשתמע "מבין השורות" של הפרסום לפי הבנת האדם הסביר" </w:t>
      </w:r>
      <w:r>
        <w:rPr>
          <w:rFonts w:ascii="David" w:hAnsi="David" w:cs="David"/>
          <w:sz w:val="24"/>
          <w:szCs w:val="24"/>
          <w:rtl/>
        </w:rPr>
        <w:t xml:space="preserve">[ע"א 1104/00 </w:t>
      </w:r>
      <w:r>
        <w:rPr>
          <w:rFonts w:ascii="David" w:hAnsi="David" w:cs="David"/>
          <w:b/>
          <w:bCs/>
          <w:sz w:val="24"/>
          <w:szCs w:val="24"/>
          <w:rtl/>
        </w:rPr>
        <w:t xml:space="preserve">אפל נ' חסון, </w:t>
      </w:r>
      <w:r>
        <w:rPr>
          <w:rFonts w:ascii="David" w:hAnsi="David" w:cs="David"/>
          <w:sz w:val="24"/>
          <w:szCs w:val="24"/>
          <w:rtl/>
        </w:rPr>
        <w:t xml:space="preserve">פ"ד נו(2) 607, עמ' 618 ראו עוד: ע"א 723/74  </w:t>
      </w:r>
      <w:r>
        <w:rPr>
          <w:rFonts w:ascii="David" w:hAnsi="David" w:cs="David"/>
          <w:b/>
          <w:bCs/>
          <w:sz w:val="24"/>
          <w:szCs w:val="24"/>
          <w:rtl/>
        </w:rPr>
        <w:t xml:space="preserve">הוצאת עיתון הארץ בע"מ ואח' נ' חברת החשמל שראל בע"מ, </w:t>
      </w:r>
      <w:r>
        <w:rPr>
          <w:rFonts w:ascii="David" w:hAnsi="David" w:cs="David"/>
          <w:sz w:val="24"/>
          <w:szCs w:val="24"/>
          <w:rtl/>
        </w:rPr>
        <w:t xml:space="preserve">פ"ד לא(2) 281, עמ' 300 [1977]; ע"א 740/86  </w:t>
      </w:r>
      <w:r>
        <w:rPr>
          <w:rFonts w:ascii="David" w:hAnsi="David" w:cs="David"/>
          <w:b/>
          <w:bCs/>
          <w:sz w:val="24"/>
          <w:szCs w:val="24"/>
          <w:rtl/>
        </w:rPr>
        <w:t>תומרקין נ' העצני</w:t>
      </w:r>
      <w:r>
        <w:rPr>
          <w:rFonts w:ascii="David" w:hAnsi="David" w:cs="David"/>
          <w:sz w:val="24"/>
          <w:szCs w:val="24"/>
          <w:rtl/>
        </w:rPr>
        <w:t>, פ"ד מג(2) 333, עמ' 337]. עוד נקבע כי  "</w:t>
      </w:r>
      <w:r>
        <w:rPr>
          <w:rFonts w:ascii="Miriam" w:hAnsi="Miriam" w:cs="Miriam"/>
          <w:sz w:val="24"/>
          <w:szCs w:val="24"/>
          <w:rtl/>
        </w:rPr>
        <w:t>ההלכה היא כי אין צורך בהבאת ראיות בדבר המשמעות שקורא מסויים או סוג של קוראים זה או אחר ייחס לפרסום הנדון, אלא בית המשפט יקבע ממצא בשאלה האם אכן מהווים הדברים לשון הרע אם לאו</w:t>
      </w:r>
      <w:r>
        <w:rPr>
          <w:rFonts w:ascii="David" w:hAnsi="David" w:cs="David"/>
          <w:sz w:val="24"/>
          <w:szCs w:val="24"/>
          <w:rtl/>
        </w:rPr>
        <w:t xml:space="preserve">". [ע"א 334/89 </w:t>
      </w:r>
      <w:r>
        <w:rPr>
          <w:rFonts w:ascii="David" w:hAnsi="David" w:cs="David"/>
          <w:b/>
          <w:bCs/>
          <w:sz w:val="24"/>
          <w:szCs w:val="24"/>
          <w:rtl/>
        </w:rPr>
        <w:t xml:space="preserve">רבקה מיכאלי נ' הלה אלמוג, </w:t>
      </w:r>
      <w:r>
        <w:rPr>
          <w:rFonts w:ascii="David" w:hAnsi="David" w:cs="David"/>
          <w:sz w:val="24"/>
          <w:szCs w:val="24"/>
          <w:rtl/>
        </w:rPr>
        <w:t xml:space="preserve">פ"ד מו(5), 555 (1992)]. הנה כי כן דרך המלך בפרשנות אמירות תהא בשים לב לפשט, תוך הבנה שיכול ויותר משהדבר מגלה הוא מסתיר, ויותר מאשר הדובר מבקש שניתן דעתנו לפשט הוא מכוון לרמוז. </w:t>
      </w:r>
    </w:p>
    <w:p w:rsidR="00E543B0" w:rsidP="00E543B0" w:rsidRDefault="00E543B0">
      <w:pPr>
        <w:pStyle w:val="ad"/>
        <w:rPr>
          <w:rFonts w:ascii="David" w:hAnsi="David" w:cs="David"/>
          <w:sz w:val="24"/>
          <w:szCs w:val="24"/>
        </w:rPr>
      </w:pPr>
    </w:p>
    <w:p w:rsidR="00E543B0" w:rsidP="00E543B0" w:rsidRDefault="00E543B0">
      <w:pPr>
        <w:pStyle w:val="2"/>
        <w:numPr>
          <w:ilvl w:val="0"/>
          <w:numId w:val="1"/>
        </w:numPr>
        <w:spacing w:after="0" w:line="360" w:lineRule="auto"/>
        <w:jc w:val="both"/>
        <w:rPr>
          <w:rFonts w:ascii="David" w:hAnsi="David" w:cs="David"/>
          <w:sz w:val="24"/>
          <w:szCs w:val="24"/>
          <w:rtl/>
        </w:rPr>
      </w:pPr>
      <w:r>
        <w:rPr>
          <w:rFonts w:ascii="David" w:hAnsi="David" w:cs="David"/>
          <w:sz w:val="24"/>
          <w:szCs w:val="24"/>
          <w:rtl/>
        </w:rPr>
        <w:lastRenderedPageBreak/>
        <w:t xml:space="preserve">המבחן שנקבע בפסיקה לקביעה האם הדברים עולים כדי לשון הרע אם לאו הוא מבחן אובייקטיבי, הביטוי יפורש בהתאם למובן הטבעי והרגיל של המלים בהקשרן הספציפי, לפי הבנתו של האדם הסביר (ראו למשל: ע"א 723/74 </w:t>
      </w:r>
      <w:r>
        <w:rPr>
          <w:rFonts w:ascii="David" w:hAnsi="David" w:cs="David"/>
          <w:b/>
          <w:bCs/>
          <w:sz w:val="24"/>
          <w:szCs w:val="24"/>
          <w:rtl/>
        </w:rPr>
        <w:t xml:space="preserve">הוצאת עיתון הארץ בע"מ ואח' נ' חברת החשמל שראל בע"מ, </w:t>
      </w:r>
      <w:r>
        <w:rPr>
          <w:rFonts w:ascii="David" w:hAnsi="David" w:cs="David"/>
          <w:sz w:val="24"/>
          <w:szCs w:val="24"/>
          <w:rtl/>
        </w:rPr>
        <w:t xml:space="preserve">פ"ד לא(2) 281, עמ' 300 [1977]; ע"א 740/86  </w:t>
      </w:r>
      <w:r>
        <w:rPr>
          <w:rFonts w:ascii="David" w:hAnsi="David" w:cs="David"/>
          <w:b/>
          <w:bCs/>
          <w:sz w:val="24"/>
          <w:szCs w:val="24"/>
          <w:rtl/>
        </w:rPr>
        <w:t>תומרקין נ' העצני</w:t>
      </w:r>
      <w:r>
        <w:rPr>
          <w:rFonts w:ascii="David" w:hAnsi="David" w:cs="David"/>
          <w:sz w:val="24"/>
          <w:szCs w:val="24"/>
          <w:rtl/>
        </w:rPr>
        <w:t xml:space="preserve">, פ"ד מג(2) 333, עמ' 337 [1989]; ע"א 11104/00 </w:t>
      </w:r>
      <w:r>
        <w:rPr>
          <w:rFonts w:ascii="David" w:hAnsi="David" w:cs="David"/>
          <w:b/>
          <w:bCs/>
          <w:sz w:val="24"/>
          <w:szCs w:val="24"/>
          <w:rtl/>
        </w:rPr>
        <w:t xml:space="preserve">אפל נ' חסון ואח', </w:t>
      </w:r>
      <w:r>
        <w:rPr>
          <w:rFonts w:ascii="David" w:hAnsi="David" w:cs="David"/>
          <w:sz w:val="24"/>
          <w:szCs w:val="24"/>
          <w:rtl/>
        </w:rPr>
        <w:t xml:space="preserve">פ"ד נו(2) 607, עמ' 617 [2002]). </w:t>
      </w:r>
    </w:p>
    <w:p w:rsidR="00E543B0" w:rsidP="00E543B0" w:rsidRDefault="00E543B0">
      <w:pPr>
        <w:pStyle w:val="ad"/>
        <w:rPr>
          <w:rFonts w:ascii="David" w:hAnsi="David" w:cs="David"/>
          <w:sz w:val="24"/>
          <w:szCs w:val="24"/>
        </w:rPr>
      </w:pPr>
    </w:p>
    <w:p w:rsidR="00E543B0" w:rsidP="00E543B0" w:rsidRDefault="00E543B0">
      <w:pPr>
        <w:pStyle w:val="2"/>
        <w:numPr>
          <w:ilvl w:val="0"/>
          <w:numId w:val="1"/>
        </w:numPr>
        <w:spacing w:after="0" w:line="360" w:lineRule="auto"/>
        <w:jc w:val="both"/>
        <w:rPr>
          <w:rFonts w:ascii="David" w:hAnsi="David" w:cs="David"/>
          <w:sz w:val="24"/>
          <w:szCs w:val="24"/>
          <w:rtl/>
        </w:rPr>
      </w:pPr>
      <w:r>
        <w:rPr>
          <w:rFonts w:ascii="David" w:hAnsi="David" w:cs="David"/>
          <w:sz w:val="24"/>
          <w:szCs w:val="24"/>
          <w:rtl/>
        </w:rPr>
        <w:t>עוד נוסיף ונזכיר שמקום שביטוי סובל פרשנות כפולה, או כאשר בית המשפט עומד בפני צומת פרשנית לפיה ניתן לפרש ביטוי באופן שהדברים עולים כדי לשון הרע, ופרשנות לפיה הדברים אינם עולים כדי לשון הרע הרי שעל בית המשפט "</w:t>
      </w:r>
      <w:r>
        <w:rPr>
          <w:rFonts w:ascii="Miriam" w:hAnsi="Miriam" w:cs="Miriam"/>
          <w:sz w:val="24"/>
          <w:szCs w:val="24"/>
          <w:rtl/>
        </w:rPr>
        <w:t xml:space="preserve">להעדיף את הפרשנות שלפיה הביטוי איננו לשון הרע" </w:t>
      </w:r>
      <w:r>
        <w:rPr>
          <w:rFonts w:ascii="David" w:hAnsi="David" w:cs="David"/>
          <w:sz w:val="24"/>
          <w:szCs w:val="24"/>
          <w:rtl/>
        </w:rPr>
        <w:t xml:space="preserve">[ע"א 4534/02 </w:t>
      </w:r>
      <w:r>
        <w:rPr>
          <w:rFonts w:ascii="David" w:hAnsi="David" w:cs="David"/>
          <w:b/>
          <w:bCs/>
          <w:sz w:val="24"/>
          <w:szCs w:val="24"/>
          <w:rtl/>
        </w:rPr>
        <w:t xml:space="preserve">רשת שוקן בע"מ נ' הרציקוביץ', </w:t>
      </w:r>
      <w:r>
        <w:rPr>
          <w:rFonts w:ascii="David" w:hAnsi="David" w:cs="David"/>
          <w:sz w:val="24"/>
          <w:szCs w:val="24"/>
          <w:rtl/>
        </w:rPr>
        <w:t>פ"ד נח(3) 558 עמ' 570]</w:t>
      </w:r>
    </w:p>
    <w:p w:rsidR="00E543B0" w:rsidP="00E543B0" w:rsidRDefault="00E543B0">
      <w:pPr>
        <w:pStyle w:val="ad"/>
        <w:rPr>
          <w:rFonts w:ascii="David" w:hAnsi="David" w:cs="David"/>
          <w:sz w:val="24"/>
          <w:szCs w:val="24"/>
          <w:rtl/>
        </w:rPr>
      </w:pPr>
    </w:p>
    <w:p w:rsidR="00E543B0" w:rsidP="00E543B0" w:rsidRDefault="00E543B0">
      <w:pPr>
        <w:pStyle w:val="10"/>
        <w:numPr>
          <w:ilvl w:val="0"/>
          <w:numId w:val="1"/>
        </w:numPr>
        <w:spacing w:after="0" w:line="360" w:lineRule="auto"/>
        <w:jc w:val="both"/>
        <w:rPr>
          <w:rFonts w:ascii="David" w:hAnsi="David" w:cs="David"/>
          <w:sz w:val="24"/>
          <w:szCs w:val="24"/>
          <w:rtl/>
        </w:rPr>
      </w:pPr>
      <w:r>
        <w:rPr>
          <w:rFonts w:ascii="David" w:hAnsi="David" w:cs="David"/>
          <w:sz w:val="24"/>
          <w:szCs w:val="24"/>
          <w:rtl/>
        </w:rPr>
        <w:t>כך או כך, במקרה דנן לא מצאתי כל טעם מדוע להפליג לפרשנות קיצונית. לא מצאתי שאכן הפרשנות המוצעת על ידי התובעת היא הפרשנות המתיישבת עם המבחן האובייקטיבי. אם נבקש לדקדק הרי שהתובע אינה מכחישה שבתור ועד היא יזמה פעולה להפסקת החשמל במדרגות. מכאן שהפרשנות של הנתבע, יכולה בהחלט להתיישב עם דעה של אדם שלא היה שותף לתהליך. שכן התובעת לא הוכיחה או הציגה פרוטוקול של נציגות הבית בו אנו מוצאים הצבעה על ניתוק מדרגות החשמל והחלטת הדיירים המאפשרת לנקוט בפעולה כזו.</w:t>
      </w:r>
    </w:p>
    <w:p w:rsidR="00E543B0" w:rsidP="00E543B0" w:rsidRDefault="00E543B0">
      <w:pPr>
        <w:pStyle w:val="ad"/>
        <w:rPr>
          <w:rFonts w:ascii="David" w:hAnsi="David" w:cs="David"/>
          <w:sz w:val="24"/>
          <w:szCs w:val="24"/>
        </w:rPr>
      </w:pPr>
    </w:p>
    <w:p w:rsidR="00E543B0" w:rsidP="00E543B0" w:rsidRDefault="00E543B0">
      <w:pPr>
        <w:pStyle w:val="ad"/>
        <w:numPr>
          <w:ilvl w:val="0"/>
          <w:numId w:val="1"/>
        </w:numPr>
        <w:spacing w:after="0" w:line="360" w:lineRule="auto"/>
        <w:ind w:left="714" w:hanging="357"/>
        <w:jc w:val="both"/>
        <w:rPr>
          <w:rFonts w:ascii="David" w:hAnsi="David" w:cs="David"/>
          <w:sz w:val="24"/>
          <w:szCs w:val="24"/>
          <w:rtl/>
        </w:rPr>
      </w:pPr>
      <w:r>
        <w:rPr>
          <w:rFonts w:ascii="David" w:hAnsi="David" w:cs="David"/>
          <w:sz w:val="24"/>
          <w:szCs w:val="24"/>
          <w:rtl/>
        </w:rPr>
        <w:t xml:space="preserve">בהקשר זה אוסיף עוד ואציין כי כאשר כתבתי את פסק הדין לא יכולתי שלא להיזכר בספר </w:t>
      </w:r>
      <w:r>
        <w:rPr>
          <w:rFonts w:ascii="Miriam" w:hAnsi="Miriam" w:cs="Miriam"/>
          <w:sz w:val="24"/>
          <w:szCs w:val="24"/>
          <w:rtl/>
        </w:rPr>
        <w:t>'ארבע ההסכמות'</w:t>
      </w:r>
      <w:r>
        <w:rPr>
          <w:rFonts w:ascii="David" w:hAnsi="David" w:cs="David"/>
          <w:sz w:val="24"/>
          <w:szCs w:val="24"/>
          <w:rtl/>
        </w:rPr>
        <w:t xml:space="preserve"> שכתב דון מיגל רואיס. הספר מושתת חכמה עתיקה של בני הטולטק במקסיקו. ובמרכזו מוצעת דרך שמטרתה לשחרר את האדם מאמונות, פחדים וסבל. בבסיס הספר מונחת ההנחה שחייו של האדם הם בבואה של חוקים 'הסכמים שאדם קבע לעצמו עם עצמו. כדי להוביל לשינוי פנימי על האדם לאמץ לעצמו ארבע הסכמות. ולמה הזכרתי ספר זה, משום ההסכמה השנייה הקובעת "</w:t>
      </w:r>
      <w:r>
        <w:rPr>
          <w:rFonts w:ascii="Miriam" w:hAnsi="Miriam" w:cs="Miriam"/>
          <w:sz w:val="24"/>
          <w:szCs w:val="24"/>
          <w:rtl/>
        </w:rPr>
        <w:t>אל תקחו שום דבר באופן אישי</w:t>
      </w:r>
      <w:r>
        <w:rPr>
          <w:rFonts w:ascii="David" w:hAnsi="David" w:cs="David"/>
          <w:sz w:val="24"/>
          <w:szCs w:val="24"/>
          <w:rtl/>
        </w:rPr>
        <w:t>" – בפשטות אין דבר שהאחר עושה או אומר שצריך להשפיע עליכם או קשור אליכם. פעולות האחר מבטאות ומשקפות אל הלך הרוח של האחר, את אישיותו, רגשותיו ועולמו הפנימי. שלו כן, שלכם לא. ויפים בהקשר זה הדברים הבאים: "</w:t>
      </w:r>
      <w:r>
        <w:rPr>
          <w:rFonts w:ascii="Miriam" w:hAnsi="Miriam" w:cs="Miriam"/>
          <w:sz w:val="24"/>
          <w:szCs w:val="24"/>
          <w:rtl/>
        </w:rPr>
        <w:t xml:space="preserve">אל תקחו שום דבר באופן אישי. כשאת הופכים זאת להרגל לא לקחת שום דבר באופן אישי, אינכם צריכים לשאוב כוח וביטחון ממה שאחרים אומרים או עושים עליכם לבטוח רק בעצמכם שתבחרו בחירות אחראיות. לעולם אינכם אחראים למעשיהם של אחרים. אתם אחראים רק לעצמכם. כשתבינו זאת באמת ותסרבו לקחת דברים באופן אישי, לא תוכלו להיפגע </w:t>
      </w:r>
      <w:r>
        <w:rPr>
          <w:rFonts w:ascii="Miriam" w:hAnsi="Miriam" w:cs="Miriam"/>
          <w:sz w:val="24"/>
          <w:szCs w:val="24"/>
          <w:rtl/>
        </w:rPr>
        <w:lastRenderedPageBreak/>
        <w:t>מהערות או ממעשים רשלניים של אחרים</w:t>
      </w:r>
      <w:r>
        <w:rPr>
          <w:rFonts w:ascii="David" w:hAnsi="David" w:cs="David"/>
          <w:sz w:val="24"/>
          <w:szCs w:val="24"/>
          <w:rtl/>
        </w:rPr>
        <w:t xml:space="preserve">" [דון מיגל רואיס, </w:t>
      </w:r>
      <w:r>
        <w:rPr>
          <w:rFonts w:ascii="David" w:hAnsi="David" w:cs="David"/>
          <w:b/>
          <w:bCs/>
          <w:sz w:val="24"/>
          <w:szCs w:val="24"/>
          <w:rtl/>
        </w:rPr>
        <w:t>ארבע ההסכמות</w:t>
      </w:r>
      <w:r>
        <w:rPr>
          <w:rFonts w:ascii="David" w:hAnsi="David" w:cs="David"/>
          <w:sz w:val="24"/>
          <w:szCs w:val="24"/>
          <w:rtl/>
        </w:rPr>
        <w:t xml:space="preserve"> (תרגם: מיכאל שלו) עמ' 53 (2020)].</w:t>
      </w:r>
    </w:p>
    <w:p w:rsidR="00E543B0" w:rsidP="00E543B0" w:rsidRDefault="00E543B0">
      <w:pPr>
        <w:pStyle w:val="ad"/>
        <w:rPr>
          <w:rFonts w:ascii="David" w:hAnsi="David" w:cs="David"/>
          <w:sz w:val="24"/>
          <w:szCs w:val="24"/>
        </w:rPr>
      </w:pPr>
    </w:p>
    <w:p w:rsidR="00E543B0" w:rsidP="00E543B0" w:rsidRDefault="00E543B0">
      <w:pPr>
        <w:pStyle w:val="ad"/>
        <w:numPr>
          <w:ilvl w:val="0"/>
          <w:numId w:val="1"/>
        </w:numPr>
        <w:spacing w:after="0" w:line="360" w:lineRule="auto"/>
        <w:ind w:left="714" w:hanging="357"/>
        <w:jc w:val="both"/>
        <w:rPr>
          <w:rFonts w:ascii="David" w:hAnsi="David" w:cs="David"/>
          <w:sz w:val="24"/>
          <w:szCs w:val="24"/>
          <w:rtl/>
        </w:rPr>
      </w:pPr>
      <w:r>
        <w:rPr>
          <w:rFonts w:ascii="David" w:hAnsi="David" w:cs="David"/>
          <w:sz w:val="24"/>
          <w:szCs w:val="24"/>
          <w:rtl/>
        </w:rPr>
        <w:t>מה נכון אם אנשים יאמצו לעצמם את העיקרון שלא לכל אמירה צריך להתייחס, לא כל דיבור שנאמר משמעותו שיש לגשת לבית המשפט. כמה ראויה היא להדהוד דברי חז"ל שמלמדים אותנו "</w:t>
      </w:r>
      <w:r>
        <w:rPr>
          <w:rFonts w:ascii="Miriam" w:hAnsi="Miriam" w:cs="Miriam"/>
          <w:sz w:val="24"/>
          <w:szCs w:val="24"/>
          <w:rtl/>
        </w:rPr>
        <w:t>הנעלבים ואינם עולבים שומעים חרפתם ואינם משיבים עושים מאהבה ושמחים ביסורים, עליהם הכתוב אומר ואוהביו כצאת השמש בגבורתו</w:t>
      </w:r>
      <w:r>
        <w:rPr>
          <w:rFonts w:ascii="David" w:hAnsi="David" w:cs="David"/>
          <w:sz w:val="24"/>
          <w:szCs w:val="24"/>
          <w:rtl/>
        </w:rPr>
        <w:t>" [בבלי שבת פ"ח, ע"ב] ויפים בהקשר זה הדברים של הרב אברהם יצחק הכהן קוק, הראי"ה קוק, שמרחיב ומבאר את הדברים המאפיינים את גדולי הרוח וכך הוא מבאר: "</w:t>
      </w:r>
      <w:r>
        <w:rPr>
          <w:rFonts w:ascii="Miriam" w:hAnsi="Miriam" w:cs="Miriam"/>
          <w:sz w:val="24"/>
          <w:szCs w:val="24"/>
          <w:rtl/>
        </w:rPr>
        <w:t>ההרגשה הברורה בצער העלבון, עד שהם נעלבים, בכל זאת רגש המוסר ואהבת הבריות, גם אותם שהעוו את דרכם והעבירו את הדרך עליהם, הוא חזק כל כך עד שהם אינם עולבים, דוקא עם אותו המכאוב הגדול שנפשם מציירת בעלבונם הם משתמשים בו לעצור ברוחם, שלא להיות הם מזיקים ומכאיבים את אחרים אף על פי שהם עולביהם עצמם. זאת היא גבורת הקודש לש החיים</w:t>
      </w:r>
      <w:r>
        <w:rPr>
          <w:rFonts w:ascii="David" w:hAnsi="David" w:cs="David"/>
          <w:sz w:val="24"/>
          <w:szCs w:val="24"/>
          <w:rtl/>
        </w:rPr>
        <w:t>" [</w:t>
      </w:r>
      <w:r>
        <w:rPr>
          <w:rFonts w:ascii="David" w:hAnsi="David" w:cs="David"/>
          <w:b/>
          <w:bCs/>
          <w:sz w:val="24"/>
          <w:szCs w:val="24"/>
          <w:rtl/>
        </w:rPr>
        <w:t>עין אי"ה</w:t>
      </w:r>
      <w:r>
        <w:rPr>
          <w:rFonts w:ascii="David" w:hAnsi="David" w:cs="David"/>
          <w:sz w:val="24"/>
          <w:szCs w:val="24"/>
          <w:rtl/>
        </w:rPr>
        <w:t xml:space="preserve"> שבת, חלק ב, פרק ט, פסקה פג].</w:t>
      </w:r>
    </w:p>
    <w:p w:rsidR="00E543B0" w:rsidP="00E543B0" w:rsidRDefault="00E543B0">
      <w:pPr>
        <w:pStyle w:val="ad"/>
        <w:rPr>
          <w:rFonts w:ascii="David" w:hAnsi="David" w:cs="David"/>
          <w:sz w:val="24"/>
          <w:szCs w:val="24"/>
        </w:rPr>
      </w:pPr>
    </w:p>
    <w:p w:rsidR="00E543B0" w:rsidP="00E543B0" w:rsidRDefault="00E543B0">
      <w:pPr>
        <w:pStyle w:val="ad"/>
        <w:numPr>
          <w:ilvl w:val="0"/>
          <w:numId w:val="1"/>
        </w:numPr>
        <w:spacing w:after="0" w:line="360" w:lineRule="auto"/>
        <w:ind w:left="714" w:hanging="357"/>
        <w:jc w:val="both"/>
        <w:rPr>
          <w:rFonts w:ascii="David" w:hAnsi="David" w:cs="David"/>
          <w:sz w:val="24"/>
          <w:szCs w:val="24"/>
          <w:rtl/>
        </w:rPr>
      </w:pPr>
      <w:r>
        <w:rPr>
          <w:rFonts w:ascii="David" w:hAnsi="David" w:cs="David"/>
          <w:sz w:val="24"/>
          <w:szCs w:val="24"/>
          <w:rtl/>
        </w:rPr>
        <w:t xml:space="preserve">אם נשוב ונסכם נקודה זו הרי שלא מצאתי כי הדברים שאמר הנתבע ואשר הובאו בפרוטוקול הדיון עולים כדי לשון הרע. </w:t>
      </w:r>
    </w:p>
    <w:p w:rsidR="00E543B0" w:rsidP="00E543B0" w:rsidRDefault="00E543B0">
      <w:pPr>
        <w:ind w:left="360"/>
        <w:rPr>
          <w:rFonts w:ascii="David" w:hAnsi="David"/>
        </w:rPr>
      </w:pPr>
    </w:p>
    <w:p w:rsidR="00E543B0" w:rsidP="00E543B0" w:rsidRDefault="00E543B0">
      <w:pPr>
        <w:ind w:left="360"/>
        <w:rPr>
          <w:rFonts w:ascii="David" w:hAnsi="David"/>
          <w:rtl/>
        </w:rPr>
      </w:pPr>
    </w:p>
    <w:p w:rsidR="00E543B0" w:rsidP="00E543B0" w:rsidRDefault="00E543B0">
      <w:pPr>
        <w:ind w:left="360"/>
        <w:rPr>
          <w:rFonts w:ascii="Miriam" w:hAnsi="Miriam" w:cs="Miriam"/>
          <w:u w:val="single"/>
          <w:rtl/>
        </w:rPr>
      </w:pPr>
      <w:r>
        <w:rPr>
          <w:rFonts w:ascii="Miriam" w:hAnsi="Miriam" w:cs="Miriam"/>
          <w:u w:val="single"/>
          <w:rtl/>
        </w:rPr>
        <w:t>'מכה עוברת ומילה לעולם נשארת' - ושאלת הפיצוי</w:t>
      </w:r>
    </w:p>
    <w:p w:rsidR="00E543B0" w:rsidP="00E543B0" w:rsidRDefault="00E543B0">
      <w:pPr>
        <w:ind w:left="360"/>
        <w:rPr>
          <w:rFonts w:ascii="Miriam" w:hAnsi="Miriam" w:cs="Miriam"/>
          <w:u w:val="single"/>
          <w:rtl/>
        </w:rPr>
      </w:pPr>
    </w:p>
    <w:p w:rsidR="00E543B0" w:rsidP="00E543B0" w:rsidRDefault="00E543B0">
      <w:pPr>
        <w:pStyle w:val="10"/>
        <w:numPr>
          <w:ilvl w:val="0"/>
          <w:numId w:val="1"/>
        </w:numPr>
        <w:spacing w:after="0" w:line="360" w:lineRule="auto"/>
        <w:jc w:val="both"/>
        <w:rPr>
          <w:rFonts w:ascii="David" w:hAnsi="David" w:cs="David"/>
          <w:sz w:val="24"/>
          <w:szCs w:val="24"/>
          <w:rtl/>
        </w:rPr>
      </w:pPr>
      <w:r>
        <w:rPr>
          <w:rFonts w:ascii="David" w:hAnsi="David" w:cs="David"/>
          <w:sz w:val="24"/>
          <w:szCs w:val="24"/>
          <w:rtl/>
        </w:rPr>
        <w:t>יכולנו לעצור בנקודה זו לאחר שדחינו את פרשנות התובעת לדברים שאמר הנתבע בפרוטוקול הדיון ולאחר המסקנה שהדברים אינם עולים כדי לשון הרע, וזאת בשים לב למבחן האובייקטיבי והעובדה שהדברים אינם חוסים כדי לשון הרע כמשמעותו בסע' 1 לחוק איסור לשון הרע. אולם נבקש להמשיך עוד נדבך ולהניח, למרות שקבענו שלא, שהדברים אכן עולים כדי לשון הרע, ונניח שלא עומדת ההגנה הקבועה בסע' 13(5) הגם שקבענו שהיא כן עומדת לנתבע. מה יהא שיעור הפיצויים שיש לפסוק במקרה מעין זה.</w:t>
      </w:r>
    </w:p>
    <w:p w:rsidR="00E543B0" w:rsidP="00E543B0" w:rsidRDefault="00E543B0">
      <w:pPr>
        <w:pStyle w:val="10"/>
        <w:spacing w:after="0" w:line="360" w:lineRule="auto"/>
        <w:jc w:val="both"/>
        <w:rPr>
          <w:rFonts w:ascii="David" w:hAnsi="David" w:cs="David"/>
          <w:sz w:val="24"/>
          <w:szCs w:val="24"/>
        </w:rPr>
      </w:pPr>
    </w:p>
    <w:p w:rsidR="00E543B0" w:rsidP="00E543B0" w:rsidRDefault="00E543B0">
      <w:pPr>
        <w:pStyle w:val="3"/>
        <w:numPr>
          <w:ilvl w:val="0"/>
          <w:numId w:val="1"/>
        </w:numPr>
        <w:spacing w:after="0" w:line="360" w:lineRule="auto"/>
        <w:jc w:val="both"/>
        <w:rPr>
          <w:rFonts w:ascii="David" w:hAnsi="David" w:cs="David"/>
          <w:sz w:val="24"/>
          <w:szCs w:val="24"/>
        </w:rPr>
      </w:pPr>
      <w:r>
        <w:rPr>
          <w:rFonts w:ascii="David" w:hAnsi="David" w:cs="David"/>
          <w:sz w:val="24"/>
          <w:szCs w:val="24"/>
          <w:rtl/>
        </w:rPr>
        <w:t xml:space="preserve">חוק איסור לשון הרע מציע שני מסלולים באמצעותם רשאי הנפגע למצות זכויותיו לפיצוי במישור האזרחי. </w:t>
      </w:r>
      <w:r>
        <w:rPr>
          <w:rFonts w:ascii="Miriam" w:hAnsi="Miriam" w:cs="Miriam"/>
          <w:sz w:val="24"/>
          <w:szCs w:val="24"/>
          <w:rtl/>
        </w:rPr>
        <w:t xml:space="preserve">המסלול אחד </w:t>
      </w:r>
      <w:r>
        <w:rPr>
          <w:rFonts w:ascii="David" w:hAnsi="David" w:cs="David"/>
          <w:sz w:val="24"/>
          <w:szCs w:val="24"/>
          <w:rtl/>
        </w:rPr>
        <w:t>הינו מסלול פיצוי ייחודי  ללא הוכחת נזק, בשים לב להוראת סע' 7א לחוק איסור לשון הרע, כאשר גובה הפיצוי מסור לשיקול דעת בית המשפט. ביסודו של פיצוי ללא הוכחת נזק מונחת התפיסה לפיה "</w:t>
      </w:r>
      <w:r>
        <w:rPr>
          <w:rFonts w:ascii="Miriam" w:hAnsi="Miriam" w:cs="Miriam"/>
          <w:sz w:val="24"/>
          <w:szCs w:val="24"/>
          <w:rtl/>
        </w:rPr>
        <w:t>משהוכחה הפרה, זכאי בעל הזכות לפיצוי ללא הוכחת נזק, אך מחמת ההנחה הכללית כי עצם ההפרה טומנת בחובה נזק</w:t>
      </w:r>
      <w:r>
        <w:rPr>
          <w:rFonts w:ascii="David" w:hAnsi="David" w:cs="David"/>
          <w:sz w:val="24"/>
          <w:szCs w:val="24"/>
          <w:rtl/>
        </w:rPr>
        <w:t xml:space="preserve">" [השופט סולברג, רע"א 2855/20  </w:t>
      </w:r>
      <w:r>
        <w:rPr>
          <w:rFonts w:ascii="David" w:hAnsi="David" w:cs="David"/>
          <w:b/>
          <w:bCs/>
          <w:sz w:val="24"/>
          <w:szCs w:val="24"/>
          <w:rtl/>
        </w:rPr>
        <w:t>פלונית נ' פלוני</w:t>
      </w:r>
      <w:r>
        <w:rPr>
          <w:rFonts w:ascii="David" w:hAnsi="David" w:cs="David"/>
          <w:sz w:val="24"/>
          <w:szCs w:val="24"/>
          <w:rtl/>
        </w:rPr>
        <w:t xml:space="preserve">, (נבו, 6.10.2022) פסקה 25]. </w:t>
      </w:r>
      <w:r>
        <w:rPr>
          <w:rFonts w:ascii="Miriam" w:hAnsi="Miriam" w:cs="Miriam"/>
          <w:sz w:val="24"/>
          <w:szCs w:val="24"/>
          <w:rtl/>
        </w:rPr>
        <w:t>והמסלול השני</w:t>
      </w:r>
      <w:r>
        <w:rPr>
          <w:rFonts w:ascii="David" w:hAnsi="David" w:cs="David"/>
          <w:sz w:val="24"/>
          <w:szCs w:val="24"/>
          <w:rtl/>
        </w:rPr>
        <w:t xml:space="preserve"> הוא מסלול פיצוי נזיקי רגיל. במסלול זה נדרש התובע להוכיח את הנזק שנגרם לו בעטיים של דברי לשון הרע.</w:t>
      </w:r>
    </w:p>
    <w:p w:rsidR="00E543B0" w:rsidP="00E543B0" w:rsidRDefault="00E543B0">
      <w:pPr>
        <w:pStyle w:val="3"/>
        <w:rPr>
          <w:rFonts w:ascii="David" w:hAnsi="David" w:cs="David"/>
          <w:sz w:val="24"/>
          <w:szCs w:val="24"/>
        </w:rPr>
      </w:pPr>
    </w:p>
    <w:p w:rsidR="00E543B0" w:rsidP="00E543B0" w:rsidRDefault="00E543B0">
      <w:pPr>
        <w:pStyle w:val="10"/>
        <w:numPr>
          <w:ilvl w:val="0"/>
          <w:numId w:val="1"/>
        </w:numPr>
        <w:spacing w:after="0" w:line="360" w:lineRule="auto"/>
        <w:jc w:val="both"/>
        <w:rPr>
          <w:rFonts w:ascii="David" w:hAnsi="David" w:cs="David"/>
          <w:sz w:val="24"/>
          <w:szCs w:val="24"/>
        </w:rPr>
      </w:pPr>
      <w:r>
        <w:rPr>
          <w:rFonts w:ascii="David" w:hAnsi="David" w:cs="David"/>
          <w:sz w:val="24"/>
          <w:szCs w:val="24"/>
          <w:rtl/>
        </w:rPr>
        <w:lastRenderedPageBreak/>
        <w:t>התובעת בחרה להעמיד את תביעתה בשים לב למסלול הראשון פיצוי ללא הוכחת נזק. פסיקת פיצויים תעשה בשים לב לשיקול דעת בית המשפט וזו תעשה בשים לב להוראת סע' 19 לחוק איסור לשון הרע, המעניק לבית המשפט שיקולים אשר יש בהם כדי להקל ולהתחשב בנתבע, כאשר בית המשפט מבקש לפסוק לחובתו ולקבוע את שיעור הפיצויים שעליו לשלם, כאשר הרשימה המנויה בסע' 19 לחוק אינה רשימה סגורה ובית המשפט בבואו לפסוק פיצויים בעניינו של נתבע הוא רשאי לעשות שימוש גם בנימוקים אחרים, כך למשל כותב גם המלומד שנהר "</w:t>
      </w:r>
      <w:r>
        <w:rPr>
          <w:rFonts w:ascii="Miriam" w:hAnsi="Miriam" w:cs="Miriam"/>
          <w:sz w:val="24"/>
          <w:szCs w:val="24"/>
          <w:rtl/>
        </w:rPr>
        <w:t>רשימת הנסיבות המקילות שבסעיף 19 אינה רשימה סגורה, שהרי הסעיף קובע כי בית המשפט רשאי להתחשב "גם" בנסיבות המצוינות בסעיף</w:t>
      </w:r>
      <w:r>
        <w:rPr>
          <w:rFonts w:ascii="David" w:hAnsi="David" w:cs="David"/>
          <w:sz w:val="24"/>
          <w:szCs w:val="24"/>
          <w:rtl/>
        </w:rPr>
        <w:t xml:space="preserve">" [אורי שנהר, </w:t>
      </w:r>
      <w:r>
        <w:rPr>
          <w:rFonts w:ascii="David" w:hAnsi="David" w:cs="David"/>
          <w:b/>
          <w:bCs/>
          <w:sz w:val="24"/>
          <w:szCs w:val="24"/>
          <w:rtl/>
        </w:rPr>
        <w:t xml:space="preserve">דיני לשון הרע – מהדורה שנייה, </w:t>
      </w:r>
      <w:r>
        <w:rPr>
          <w:rFonts w:ascii="David" w:hAnsi="David" w:cs="David"/>
          <w:sz w:val="24"/>
          <w:szCs w:val="24"/>
          <w:rtl/>
        </w:rPr>
        <w:t>עמ' 710 (2024)].</w:t>
      </w:r>
    </w:p>
    <w:p w:rsidR="00E543B0" w:rsidP="00E543B0" w:rsidRDefault="00E543B0">
      <w:pPr>
        <w:pStyle w:val="ad"/>
        <w:rPr>
          <w:rFonts w:ascii="David" w:hAnsi="David" w:cs="David"/>
          <w:sz w:val="24"/>
          <w:szCs w:val="24"/>
        </w:rPr>
      </w:pPr>
    </w:p>
    <w:p w:rsidR="00E543B0" w:rsidP="00E543B0" w:rsidRDefault="00E543B0">
      <w:pPr>
        <w:pStyle w:val="10"/>
        <w:numPr>
          <w:ilvl w:val="0"/>
          <w:numId w:val="1"/>
        </w:numPr>
        <w:spacing w:after="0" w:line="360" w:lineRule="auto"/>
        <w:jc w:val="both"/>
        <w:rPr>
          <w:rFonts w:ascii="David" w:hAnsi="David" w:cs="David"/>
          <w:sz w:val="24"/>
          <w:szCs w:val="24"/>
          <w:rtl/>
        </w:rPr>
      </w:pPr>
      <w:r>
        <w:rPr>
          <w:rFonts w:ascii="David" w:hAnsi="David" w:cs="David"/>
          <w:sz w:val="24"/>
          <w:szCs w:val="24"/>
          <w:rtl/>
        </w:rPr>
        <w:t xml:space="preserve">את הכל יש לקחת בחשבון כאשר מבקשים להשית פיצוי סטטוטורי. את זהות הצדדים – הפוגע והנפגע, נפגע חזק שמבקש להלך אימים על חלש. נפגע שהוא עורך דין או משפטן אל מול האדם מהישוב. זהות הפוגע – האם הפוגע חזק שביקש להקטין את האחר. הרקע לפרסומים. משך הזמן שהנפגע המתין עד להגשת התביעה, משקל ההסבר מדוע השתהה עם התביעה. האם עוצמת דברי לשון הרע היא לא כזו עוצמתית. </w:t>
      </w:r>
    </w:p>
    <w:p w:rsidR="00E543B0" w:rsidP="00E543B0" w:rsidRDefault="00E543B0">
      <w:pPr>
        <w:pStyle w:val="10"/>
        <w:spacing w:after="0" w:line="360" w:lineRule="auto"/>
        <w:jc w:val="both"/>
        <w:rPr>
          <w:rFonts w:ascii="David" w:hAnsi="David" w:cs="David"/>
          <w:sz w:val="24"/>
          <w:szCs w:val="24"/>
        </w:rPr>
      </w:pPr>
    </w:p>
    <w:p w:rsidR="00E543B0" w:rsidP="00E543B0" w:rsidRDefault="00E543B0">
      <w:pPr>
        <w:pStyle w:val="10"/>
        <w:numPr>
          <w:ilvl w:val="0"/>
          <w:numId w:val="1"/>
        </w:numPr>
        <w:spacing w:after="0" w:line="360" w:lineRule="auto"/>
        <w:jc w:val="both"/>
        <w:rPr>
          <w:rFonts w:ascii="David" w:hAnsi="David" w:cs="David"/>
          <w:sz w:val="24"/>
          <w:szCs w:val="24"/>
        </w:rPr>
      </w:pPr>
      <w:r>
        <w:rPr>
          <w:rFonts w:ascii="David" w:hAnsi="David" w:cs="David"/>
          <w:sz w:val="24"/>
          <w:szCs w:val="24"/>
          <w:rtl/>
        </w:rPr>
        <w:t xml:space="preserve">מבלי להיכנס לתחושותיה של התובעת שמבטאים את פרשנות סובייקטיבית של הדברים הרי שגם אם נקבע שהדברים מהווים לשון הרע הם אינם מהווים לשון הרע במדרג החמור, עדיין הם אולי משקפים מציאות שהתובעת היתה קשורה אליה – ניתוק חשמל המדרגות – אולם בניסוח חריף יותר, אולם אין בניסוח זה כדי לזכות את התובעת בפיצוי ברף הגבוהה. </w:t>
      </w:r>
    </w:p>
    <w:p w:rsidR="00E543B0" w:rsidP="00E543B0" w:rsidRDefault="00E543B0">
      <w:pPr>
        <w:pStyle w:val="ad"/>
        <w:rPr>
          <w:rFonts w:ascii="David" w:hAnsi="David" w:cs="David"/>
          <w:sz w:val="24"/>
          <w:szCs w:val="24"/>
        </w:rPr>
      </w:pPr>
    </w:p>
    <w:p w:rsidR="00E543B0" w:rsidP="00E543B0" w:rsidRDefault="00E543B0">
      <w:pPr>
        <w:pStyle w:val="10"/>
        <w:numPr>
          <w:ilvl w:val="0"/>
          <w:numId w:val="1"/>
        </w:numPr>
        <w:spacing w:after="0" w:line="360" w:lineRule="auto"/>
        <w:jc w:val="both"/>
        <w:rPr>
          <w:rFonts w:ascii="David" w:hAnsi="David" w:cs="David"/>
          <w:sz w:val="24"/>
          <w:szCs w:val="24"/>
          <w:rtl/>
        </w:rPr>
      </w:pPr>
      <w:r>
        <w:rPr>
          <w:rFonts w:ascii="David" w:hAnsi="David" w:cs="David"/>
          <w:sz w:val="24"/>
          <w:szCs w:val="24"/>
          <w:rtl/>
        </w:rPr>
        <w:t xml:space="preserve">עוד בהקשר זה נוסיף כי תביעות לשון הרע ככל תביעה אזרחית יש חיי מדף ותאריך תפוגה. דומה שאין כל מחלוקת שהוראת סע' 5(1) לחוק ההתיישנות, תשי"ח-1958 ולפיה תביעה אזרחית שאינה במקרקעין תתיישן תוך 7 שנים [ראו גם: אורי שנהר, </w:t>
      </w:r>
      <w:r>
        <w:rPr>
          <w:rFonts w:ascii="David" w:hAnsi="David" w:cs="David"/>
          <w:b/>
          <w:bCs/>
          <w:sz w:val="24"/>
          <w:szCs w:val="24"/>
          <w:rtl/>
        </w:rPr>
        <w:t xml:space="preserve">דיני לשון הרע </w:t>
      </w:r>
      <w:r>
        <w:rPr>
          <w:rFonts w:ascii="David" w:hAnsi="David" w:cs="David"/>
          <w:sz w:val="24"/>
          <w:szCs w:val="24"/>
          <w:rtl/>
        </w:rPr>
        <w:t>(2024) עמ' 851]</w:t>
      </w:r>
    </w:p>
    <w:p w:rsidR="00E543B0" w:rsidP="00E543B0" w:rsidRDefault="00E543B0">
      <w:pPr>
        <w:pStyle w:val="ad"/>
        <w:rPr>
          <w:rFonts w:ascii="David" w:hAnsi="David" w:cs="David"/>
          <w:sz w:val="24"/>
          <w:szCs w:val="24"/>
        </w:rPr>
      </w:pPr>
    </w:p>
    <w:p w:rsidR="00E543B0" w:rsidP="00E543B0" w:rsidRDefault="00E543B0">
      <w:pPr>
        <w:pStyle w:val="10"/>
        <w:numPr>
          <w:ilvl w:val="0"/>
          <w:numId w:val="1"/>
        </w:numPr>
        <w:spacing w:after="0" w:line="360" w:lineRule="auto"/>
        <w:jc w:val="both"/>
        <w:rPr>
          <w:rFonts w:ascii="David" w:hAnsi="David" w:cs="David"/>
          <w:sz w:val="24"/>
          <w:szCs w:val="24"/>
          <w:rtl/>
        </w:rPr>
      </w:pPr>
      <w:r>
        <w:rPr>
          <w:rFonts w:ascii="David" w:hAnsi="David" w:cs="David"/>
          <w:sz w:val="24"/>
          <w:szCs w:val="24"/>
          <w:rtl/>
        </w:rPr>
        <w:t>כשיקול בפסיקת פיצוי בעילה של לשון הרע יש לקחת בחשבון את מועד הגשת התביעה ביחס לפרסום הוצאת לשון הרע. הדעת נותנת שאדם שנפגע מלשון הרע, ונפשו הומה עליו עד שהדברים גורמים לו להגיש תביעה שיגיש תביעתו בסמוך לפרסום הדברים. במקרה דנן הדברים נאמרו בדצמבר 2019 התביעה מוגשת בחלוף כחמש שנים וחצי, במאי, 2025. ודוק התובעת מנסה בכתב התביעה לצייר מציאות שאינה מתיישבת עם הגיון הבריא. בהתאם לכתב ההגנה התובעת הגישה 10 הליכים שונים, כמחצית מהם הם עילתם מושתת על חוק איסור לשון הרע.</w:t>
      </w:r>
    </w:p>
    <w:p w:rsidR="00E543B0" w:rsidP="00E543B0" w:rsidRDefault="00E543B0">
      <w:pPr>
        <w:pStyle w:val="ad"/>
        <w:rPr>
          <w:rFonts w:ascii="David" w:hAnsi="David" w:cs="David"/>
          <w:sz w:val="24"/>
          <w:szCs w:val="24"/>
        </w:rPr>
      </w:pPr>
    </w:p>
    <w:p w:rsidR="00E543B0" w:rsidP="00E543B0" w:rsidRDefault="00E543B0">
      <w:pPr>
        <w:pStyle w:val="10"/>
        <w:numPr>
          <w:ilvl w:val="0"/>
          <w:numId w:val="1"/>
        </w:numPr>
        <w:spacing w:after="0" w:line="360" w:lineRule="auto"/>
        <w:jc w:val="both"/>
        <w:rPr>
          <w:rFonts w:ascii="David" w:hAnsi="David" w:cs="David"/>
          <w:sz w:val="24"/>
          <w:szCs w:val="24"/>
          <w:rtl/>
        </w:rPr>
      </w:pPr>
      <w:r>
        <w:rPr>
          <w:rFonts w:ascii="David" w:hAnsi="David" w:cs="David"/>
          <w:sz w:val="24"/>
          <w:szCs w:val="24"/>
          <w:rtl/>
        </w:rPr>
        <w:lastRenderedPageBreak/>
        <w:t xml:space="preserve">התובעת כמתמחה וכבעלת השכלה משפטית, וכך גם ניתן היה להתרשם במהלך הדיון יודעת לעמוד על דעתה, לעיתים בחוסר הבנה משפטית, אולם עם הרבה בטחון שהצדק עימה, ועם ניהול הליכים רבים אינה נתפסת כחוליה החלשה לפיה היא חוששת, ואת חייה מלווה 'הרגשה רעה', התרשמתי מההפך בדיוק. התובעת מנצלת את הכרת עולם המשפט כדי להלך אימים על הנקרים בדרכה. לא מצינו שאדם מנהל כל כך הרבה הליכים אל מול נתבעים שונים. </w:t>
      </w:r>
    </w:p>
    <w:p w:rsidR="00E543B0" w:rsidP="00E543B0" w:rsidRDefault="00E543B0">
      <w:pPr>
        <w:pStyle w:val="ad"/>
        <w:rPr>
          <w:rFonts w:ascii="David" w:hAnsi="David" w:cs="David"/>
          <w:sz w:val="24"/>
          <w:szCs w:val="24"/>
        </w:rPr>
      </w:pPr>
    </w:p>
    <w:p w:rsidR="00E543B0" w:rsidP="00E543B0" w:rsidRDefault="00E543B0">
      <w:pPr>
        <w:pStyle w:val="10"/>
        <w:numPr>
          <w:ilvl w:val="0"/>
          <w:numId w:val="1"/>
        </w:numPr>
        <w:spacing w:after="0" w:line="360" w:lineRule="auto"/>
        <w:jc w:val="both"/>
        <w:rPr>
          <w:rFonts w:ascii="David" w:hAnsi="David" w:cs="David"/>
          <w:sz w:val="24"/>
          <w:szCs w:val="24"/>
          <w:rtl/>
        </w:rPr>
      </w:pPr>
      <w:r>
        <w:rPr>
          <w:rFonts w:ascii="David" w:hAnsi="David" w:cs="David"/>
          <w:sz w:val="24"/>
          <w:szCs w:val="24"/>
          <w:rtl/>
        </w:rPr>
        <w:t>הרושם שיצרה התובעת שהיא עסוקה בהגשת תביעות, תככים וסכסוכים. ריבוי התביעות יש בו כדי ללמד על אישיות לוחמנית, שעומדת על כל קוצו של יוד. מבקשת לקרוא לכל צל ההרים – הרים, ומכל עכבר ניסיון להוליד עכבר.</w:t>
      </w:r>
    </w:p>
    <w:p w:rsidR="00E543B0" w:rsidP="00E543B0" w:rsidRDefault="00E543B0">
      <w:pPr>
        <w:pStyle w:val="ad"/>
        <w:rPr>
          <w:rFonts w:ascii="David" w:hAnsi="David" w:cs="David"/>
          <w:sz w:val="24"/>
          <w:szCs w:val="24"/>
        </w:rPr>
      </w:pPr>
    </w:p>
    <w:p w:rsidR="00E543B0" w:rsidP="00E543B0" w:rsidRDefault="00E543B0">
      <w:pPr>
        <w:pStyle w:val="10"/>
        <w:numPr>
          <w:ilvl w:val="0"/>
          <w:numId w:val="1"/>
        </w:numPr>
        <w:spacing w:after="0" w:line="360" w:lineRule="auto"/>
        <w:jc w:val="both"/>
        <w:rPr>
          <w:rFonts w:ascii="David" w:hAnsi="David" w:cs="David"/>
          <w:sz w:val="24"/>
          <w:szCs w:val="24"/>
          <w:rtl/>
        </w:rPr>
      </w:pPr>
      <w:r>
        <w:rPr>
          <w:rFonts w:ascii="David" w:hAnsi="David" w:cs="David"/>
          <w:sz w:val="24"/>
          <w:szCs w:val="24"/>
          <w:rtl/>
        </w:rPr>
        <w:t>במקרה דנן מקום שהתובעת מתפקדת גם בכובע של ועד בית – כובע ציבורי, הרי שעליה להיות ערוכה לעמוד לביקורת ציבורית, עילה לספק תשובות לציבור. מדוע אין חשמל במדרגות, מדוע ביקשה היא באופן חד צדדי לבקשת מחברת החשמל לנתק את החשמל, האם ניתוק החשמל היה בסמכותה של התובעת שהתקבלה מהדיירים. תהיות אלו נותרות עלומות. כך או כך העוסקים בצורכי ציבור צריכים לדעת שעליהם ליתן דין וחשבון בפני הציבור. ולצד השמירה על כבודם והערכתם על תרומתם לכלל חייבים גם הם לנהוג 'בממלכתיות' עליהם לפתח את היכולת לשאת את הציבור, שלעיתים הוא יודע לבוא בטרוניות, הוא מסוגל להיות קשה עורף, הוא יכול לגלות כפיות טובה, מנגד איש ציבור צריך לזכור 'ששררה היא עבדות' ולא רק כבוד. ואיש ציבור שאינו מסוגל לשאת את הציבור  כמו שהאם נושאת את בנה, כדאי לו שלא יהיה איש ציבור. ודוק: ולמען באר היטב, אין משמעות הדבר שהציבור מותר בהכל ואיש הציבור אסור בהכל לא. יש מקרים שבהם יש לבכר את ההגנה על איש הציבור.</w:t>
      </w:r>
    </w:p>
    <w:p w:rsidR="00E543B0" w:rsidP="00E543B0" w:rsidRDefault="00E543B0">
      <w:pPr>
        <w:pStyle w:val="ad"/>
        <w:rPr>
          <w:rFonts w:ascii="David" w:hAnsi="David" w:cs="David"/>
          <w:sz w:val="24"/>
          <w:szCs w:val="24"/>
        </w:rPr>
      </w:pPr>
    </w:p>
    <w:p w:rsidR="00E543B0" w:rsidP="00E543B0" w:rsidRDefault="00E543B0">
      <w:pPr>
        <w:pStyle w:val="3"/>
        <w:numPr>
          <w:ilvl w:val="0"/>
          <w:numId w:val="1"/>
        </w:numPr>
        <w:spacing w:after="0" w:line="360" w:lineRule="auto"/>
        <w:jc w:val="both"/>
        <w:rPr>
          <w:rFonts w:ascii="David" w:hAnsi="David" w:cs="David"/>
          <w:sz w:val="24"/>
          <w:szCs w:val="24"/>
          <w:rtl/>
        </w:rPr>
      </w:pPr>
      <w:r>
        <w:rPr>
          <w:rFonts w:ascii="David" w:hAnsi="David" w:cs="David"/>
          <w:sz w:val="24"/>
          <w:szCs w:val="24"/>
          <w:rtl/>
        </w:rPr>
        <w:t>באשר לשאלת ההוצאות, תקנה 152 לתקנות סדר הדין האזרחי, קובעת לנו: "</w:t>
      </w:r>
      <w:r>
        <w:rPr>
          <w:rFonts w:ascii="Miriam" w:hAnsi="Miriam" w:cs="Miriam"/>
          <w:sz w:val="24"/>
          <w:szCs w:val="24"/>
          <w:rtl/>
        </w:rPr>
        <w:t>בתום דיון יפסוק בית המשפט הוצאות סבירות והוגנות, זולת אם מצא שקיימים טעמים מיוחדים שלא לחייב בהוצאות כאמור</w:t>
      </w:r>
      <w:r>
        <w:rPr>
          <w:rFonts w:ascii="David" w:hAnsi="David" w:cs="David"/>
          <w:sz w:val="24"/>
          <w:szCs w:val="24"/>
          <w:rtl/>
        </w:rPr>
        <w:t>" לשונה של התקנה מניחה כברירת מחדל את פסיקת ההוצאות, אולם לכלל גם חריג, והסיפא של התקנה מאפשרת לבית המשפט לשלול הוצאות מטעמים מיוחדים שירשמו.</w:t>
      </w:r>
    </w:p>
    <w:p w:rsidR="00E543B0" w:rsidP="00E543B0" w:rsidRDefault="00E543B0">
      <w:pPr>
        <w:pStyle w:val="ad"/>
        <w:rPr>
          <w:rFonts w:ascii="David" w:hAnsi="David" w:cs="David"/>
          <w:sz w:val="24"/>
          <w:szCs w:val="24"/>
        </w:rPr>
      </w:pPr>
    </w:p>
    <w:p w:rsidR="00E543B0" w:rsidP="00E543B0" w:rsidRDefault="00E543B0">
      <w:pPr>
        <w:pStyle w:val="3"/>
        <w:numPr>
          <w:ilvl w:val="0"/>
          <w:numId w:val="1"/>
        </w:numPr>
        <w:spacing w:after="0" w:line="360" w:lineRule="auto"/>
        <w:jc w:val="both"/>
        <w:rPr>
          <w:rFonts w:ascii="David" w:hAnsi="David" w:cs="David"/>
          <w:sz w:val="24"/>
          <w:szCs w:val="24"/>
          <w:rtl/>
        </w:rPr>
      </w:pPr>
      <w:r>
        <w:rPr>
          <w:rFonts w:ascii="David" w:hAnsi="David" w:cs="David"/>
          <w:sz w:val="24"/>
          <w:szCs w:val="24"/>
          <w:rtl/>
        </w:rPr>
        <w:t xml:space="preserve">המקרה דנן מדיף ניחוח של תביעת השתקה מכוחה מנצלת התובעת את כוחה והכשרתה להגיש תביעה חסרת התכנות משפטית בשים לב לסע' 13(5) לחוק איסור לשון הרע. ככזו היה ראוי להשית על התובעת הוצאות גבוהות במיוחד ולו כדי לבטא את המגמה לבל יבקשו אנשים לנצל את חוק איסור לשון הרע להגשת תביעות סרק. </w:t>
      </w:r>
    </w:p>
    <w:p w:rsidR="00E543B0" w:rsidP="00E543B0" w:rsidRDefault="00E543B0">
      <w:pPr>
        <w:pStyle w:val="ad"/>
        <w:rPr>
          <w:rFonts w:ascii="David" w:hAnsi="David" w:cs="David"/>
          <w:sz w:val="24"/>
          <w:szCs w:val="24"/>
        </w:rPr>
      </w:pPr>
    </w:p>
    <w:p w:rsidR="00E543B0" w:rsidP="00E543B0" w:rsidRDefault="00E543B0">
      <w:pPr>
        <w:pStyle w:val="3"/>
        <w:numPr>
          <w:ilvl w:val="0"/>
          <w:numId w:val="1"/>
        </w:numPr>
        <w:spacing w:after="0" w:line="360" w:lineRule="auto"/>
        <w:jc w:val="both"/>
        <w:rPr>
          <w:rFonts w:ascii="David" w:hAnsi="David" w:cs="David"/>
          <w:sz w:val="24"/>
          <w:szCs w:val="24"/>
          <w:rtl/>
        </w:rPr>
      </w:pPr>
      <w:r>
        <w:rPr>
          <w:rFonts w:ascii="David" w:hAnsi="David" w:cs="David"/>
          <w:sz w:val="24"/>
          <w:szCs w:val="24"/>
          <w:rtl/>
        </w:rPr>
        <w:lastRenderedPageBreak/>
        <w:t xml:space="preserve">אולם לפנים משורת הדין ומקום שהצדדים ויתרו על ניהול ישיבת הוכחות ונעתרו להסדר דיוני באופן שבתיק הגישו הצדדים סיכומים וניתן פסק דין הנני משית על התובעת הוצאות מופחתות באופן שהתובעת תשלם לנתבע הוצאות בסך של 500 ₪ ושכר טרחת עורך דין בסך של 7,500 ₪. </w:t>
      </w:r>
    </w:p>
    <w:p w:rsidR="00E543B0" w:rsidP="00E543B0" w:rsidRDefault="00E543B0">
      <w:pPr>
        <w:pStyle w:val="ad"/>
        <w:rPr>
          <w:rFonts w:ascii="David" w:hAnsi="David" w:cs="David"/>
          <w:sz w:val="24"/>
          <w:szCs w:val="24"/>
        </w:rPr>
      </w:pPr>
    </w:p>
    <w:p w:rsidR="00E543B0" w:rsidP="00E543B0" w:rsidRDefault="00E543B0">
      <w:pPr>
        <w:pStyle w:val="ad"/>
        <w:numPr>
          <w:ilvl w:val="0"/>
          <w:numId w:val="1"/>
        </w:numPr>
        <w:spacing w:after="0" w:line="360" w:lineRule="auto"/>
        <w:ind w:left="714" w:hanging="357"/>
        <w:jc w:val="both"/>
        <w:rPr>
          <w:rFonts w:ascii="David" w:hAnsi="David" w:cs="David"/>
          <w:sz w:val="24"/>
          <w:szCs w:val="24"/>
          <w:rtl/>
        </w:rPr>
      </w:pPr>
      <w:r>
        <w:rPr>
          <w:rFonts w:ascii="David" w:hAnsi="David" w:cs="David"/>
          <w:sz w:val="24"/>
          <w:szCs w:val="24"/>
          <w:rtl/>
        </w:rPr>
        <w:t>בשולי הדברים חוק איסור לשון הרע הוא חוק נפלא שמבקש להגן על כבודו של אדם, שמבקש להבטיח את שמו הטוב של האדם. הוא יוצר איזונים ומנגנונים טובים שבכוחם להביא לסדר. זאת יש לזכור שלא כל לשון הרע שנאמר ומפורסם כדאי הוא להגיע אליו לבית המשפט. יש להיזהר שלא לשחוק את המשמעות שחוק איסור לשון הרע נושא עימו. לנוכח קדושתו של חוק איסור לשון הרע יש לעשות בו שימוש מושכל. אין לתפוס את תביעת לשון הרע ככלי ליצירת הכנסה. חוק איסור לשון הרע אינו כספומט. הציפיה מכל מי ששאר רוח מפעמת בקרבו לשקול היטב היטב האם נכון להגיש תביעת לשון הרע.</w:t>
      </w:r>
    </w:p>
    <w:p w:rsidR="00E543B0" w:rsidP="00E543B0" w:rsidRDefault="00E543B0">
      <w:pPr>
        <w:pStyle w:val="ad"/>
        <w:rPr>
          <w:rFonts w:ascii="David" w:hAnsi="David" w:cs="David"/>
          <w:sz w:val="24"/>
          <w:szCs w:val="24"/>
        </w:rPr>
      </w:pPr>
    </w:p>
    <w:p w:rsidR="00E543B0" w:rsidP="00E543B0" w:rsidRDefault="00E543B0">
      <w:pPr>
        <w:pStyle w:val="ad"/>
        <w:numPr>
          <w:ilvl w:val="0"/>
          <w:numId w:val="1"/>
        </w:numPr>
        <w:spacing w:after="0" w:line="360" w:lineRule="auto"/>
        <w:ind w:left="714" w:hanging="357"/>
        <w:jc w:val="both"/>
        <w:rPr>
          <w:rFonts w:ascii="David" w:hAnsi="David" w:cs="David"/>
          <w:sz w:val="24"/>
          <w:szCs w:val="24"/>
          <w:rtl/>
        </w:rPr>
      </w:pPr>
      <w:r>
        <w:rPr>
          <w:rFonts w:ascii="David" w:hAnsi="David" w:cs="David"/>
          <w:sz w:val="24"/>
          <w:szCs w:val="24"/>
          <w:rtl/>
        </w:rPr>
        <w:t>עוד בטרם חתימה נציין כי משפטן שבוחר לנצל את השכלתו כדי להגיש תביעות לשון הרע כנגד אנשים שהוא בא איתם במגע יש בה טעם לפגם. במקום אחר ציינתי את דרכו של עורך הדין והחובות החלות עליו מכח היותו נושא בתואר 'עורך דין' וכך כתבתי: "</w:t>
      </w:r>
      <w:r>
        <w:rPr>
          <w:rFonts w:ascii="Miriam" w:hAnsi="Miriam" w:cs="Miriam"/>
          <w:sz w:val="24"/>
          <w:szCs w:val="24"/>
          <w:rtl/>
        </w:rPr>
        <w:t>שומה על האדם המבקש לעטות על עצמו את גלימת עורך הדין. לזכור ולשנן לעצמו מהו עורך דין. עליו לזכור שעורך דין באורחותיו צריך לייצג את היפה, הטוב, האנושי, הישר, ההגון, הנאמן, המסור והערכי. עריכת דין אינה עוד מקצוע</w:t>
      </w:r>
      <w:r>
        <w:rPr>
          <w:rFonts w:ascii="David" w:hAnsi="David" w:cs="David"/>
          <w:sz w:val="24"/>
          <w:szCs w:val="24"/>
          <w:rtl/>
        </w:rPr>
        <w:t xml:space="preserve">" [בד"מ (מרכז) 18/21 </w:t>
      </w:r>
      <w:r>
        <w:rPr>
          <w:rFonts w:ascii="David" w:hAnsi="David" w:cs="David"/>
          <w:b/>
          <w:bCs/>
          <w:sz w:val="24"/>
          <w:szCs w:val="24"/>
          <w:rtl/>
        </w:rPr>
        <w:t>ועדת האתיקה במחוז מרכז של לשכת עורכי הדין נ' נריה כהן,</w:t>
      </w:r>
      <w:r>
        <w:rPr>
          <w:rFonts w:ascii="David" w:hAnsi="David" w:cs="David"/>
          <w:sz w:val="24"/>
          <w:szCs w:val="24"/>
          <w:rtl/>
        </w:rPr>
        <w:t xml:space="preserve"> [אתר נבו] (גזר דין מיום 21.5.2023) והדברים יפים גם למתמחה שמכוון להיות ראוי לשאת על עצמו את כובד משקלה של גלימת עורך הדין. </w:t>
      </w:r>
    </w:p>
    <w:p w:rsidR="00E543B0" w:rsidP="00E543B0" w:rsidRDefault="00E543B0">
      <w:pPr>
        <w:pStyle w:val="ad"/>
        <w:rPr>
          <w:rFonts w:ascii="David" w:hAnsi="David" w:cs="David"/>
          <w:sz w:val="24"/>
          <w:szCs w:val="24"/>
        </w:rPr>
      </w:pPr>
    </w:p>
    <w:p w:rsidR="00E543B0" w:rsidP="00E543B0" w:rsidRDefault="00E543B0">
      <w:pPr>
        <w:pStyle w:val="ad"/>
        <w:numPr>
          <w:ilvl w:val="0"/>
          <w:numId w:val="1"/>
        </w:numPr>
        <w:spacing w:after="0" w:line="360" w:lineRule="auto"/>
        <w:ind w:left="714" w:hanging="357"/>
        <w:jc w:val="both"/>
        <w:rPr>
          <w:rFonts w:ascii="David" w:hAnsi="David" w:cs="David"/>
          <w:sz w:val="24"/>
          <w:szCs w:val="24"/>
          <w:rtl/>
        </w:rPr>
      </w:pPr>
      <w:r>
        <w:rPr>
          <w:rFonts w:ascii="David" w:hAnsi="David" w:cs="David"/>
          <w:sz w:val="24"/>
          <w:szCs w:val="24"/>
          <w:rtl/>
        </w:rPr>
        <w:t>הנתבע בכתב הגנתו מונה רשימה של הליכים רבים למעלה מ-10 הליכים משפטיים שניהלה התובעת נגד דיירים בבניין בו היא מתגוררת. הליכים שנוהלו בפני המפקחת על הבתים המשותפים, הליכים בבית המשפט השלום והליכי ערעור בפני בית המשפט המחוזי. יבול זה יבול שמשתרע על תקופה של 6 שנים אינו דבר של מה בכך, יש בו כדי ללמד ולהעיד על אופיה של התובעת, בספר משלי מצינו "</w:t>
      </w:r>
      <w:r>
        <w:rPr>
          <w:rFonts w:ascii="Miriam" w:hAnsi="Miriam" w:cs="Miriam"/>
          <w:sz w:val="24"/>
          <w:szCs w:val="24"/>
          <w:rtl/>
        </w:rPr>
        <w:t>איש חמה יגרה מדון, וארך אפיים ישקיט ריב</w:t>
      </w:r>
      <w:r>
        <w:rPr>
          <w:rFonts w:ascii="David" w:hAnsi="David" w:cs="David"/>
          <w:sz w:val="24"/>
          <w:szCs w:val="24"/>
          <w:rtl/>
        </w:rPr>
        <w:t>" [</w:t>
      </w:r>
      <w:r>
        <w:rPr>
          <w:rFonts w:ascii="David" w:hAnsi="David" w:cs="David"/>
          <w:b/>
          <w:bCs/>
          <w:sz w:val="24"/>
          <w:szCs w:val="24"/>
          <w:rtl/>
        </w:rPr>
        <w:t>משלי</w:t>
      </w:r>
      <w:r>
        <w:rPr>
          <w:rFonts w:ascii="David" w:hAnsi="David" w:cs="David"/>
          <w:sz w:val="24"/>
          <w:szCs w:val="24"/>
          <w:rtl/>
        </w:rPr>
        <w:t xml:space="preserve"> טו, יח].</w:t>
      </w:r>
    </w:p>
    <w:p w:rsidR="00E543B0" w:rsidP="00E543B0" w:rsidRDefault="00E543B0">
      <w:pPr>
        <w:pStyle w:val="ad"/>
        <w:rPr>
          <w:rFonts w:ascii="David" w:hAnsi="David" w:cs="David"/>
          <w:sz w:val="24"/>
          <w:szCs w:val="24"/>
        </w:rPr>
      </w:pPr>
    </w:p>
    <w:p w:rsidR="00E543B0" w:rsidP="00E543B0" w:rsidRDefault="00E543B0">
      <w:pPr>
        <w:pStyle w:val="ad"/>
        <w:numPr>
          <w:ilvl w:val="0"/>
          <w:numId w:val="1"/>
        </w:numPr>
        <w:spacing w:after="0" w:line="360" w:lineRule="auto"/>
        <w:ind w:left="714" w:hanging="357"/>
        <w:jc w:val="both"/>
        <w:rPr>
          <w:rFonts w:ascii="David" w:hAnsi="David" w:cs="David"/>
          <w:sz w:val="24"/>
          <w:szCs w:val="24"/>
          <w:rtl/>
        </w:rPr>
      </w:pPr>
      <w:r>
        <w:rPr>
          <w:rFonts w:ascii="David" w:hAnsi="David" w:cs="David"/>
          <w:sz w:val="24"/>
          <w:szCs w:val="24"/>
          <w:rtl/>
        </w:rPr>
        <w:t>הכח שניתן בידי עורכי דין לייצג אנשים לתיקון עולם ניתן להם ולא להחרבתו. "</w:t>
      </w:r>
      <w:r>
        <w:rPr>
          <w:rFonts w:ascii="Miriam" w:hAnsi="Miriam" w:cs="Miriam"/>
          <w:sz w:val="24"/>
          <w:szCs w:val="24"/>
          <w:rtl/>
        </w:rPr>
        <w:t>להציל עשוק מיד עושקו</w:t>
      </w:r>
      <w:r>
        <w:rPr>
          <w:rFonts w:ascii="David" w:hAnsi="David" w:cs="David"/>
          <w:sz w:val="24"/>
          <w:szCs w:val="24"/>
          <w:rtl/>
        </w:rPr>
        <w:t xml:space="preserve">" [רמב"ם </w:t>
      </w:r>
      <w:r>
        <w:rPr>
          <w:rFonts w:ascii="David" w:hAnsi="David" w:cs="David"/>
          <w:b/>
          <w:bCs/>
          <w:sz w:val="24"/>
          <w:szCs w:val="24"/>
          <w:rtl/>
        </w:rPr>
        <w:t>משנה תורה</w:t>
      </w:r>
      <w:r>
        <w:rPr>
          <w:rFonts w:ascii="David" w:hAnsi="David" w:cs="David"/>
          <w:sz w:val="24"/>
          <w:szCs w:val="24"/>
          <w:rtl/>
        </w:rPr>
        <w:t>, הלכות סנהדרין והעונשים המסורים להם, פרק ב, הלכה ז]. על עורכי דין לשנן לעצמם שעה שנוטלים על עצמם את גלימת הייצוג את דברי הנביא זכריה "</w:t>
      </w:r>
      <w:r>
        <w:rPr>
          <w:rFonts w:ascii="Miriam" w:hAnsi="Miriam" w:cs="Miriam"/>
          <w:sz w:val="24"/>
          <w:szCs w:val="24"/>
          <w:rtl/>
        </w:rPr>
        <w:t>ואלמנה ויתום, גר, ועני אל תעשקו, ורעת איש אחיו אל תחשבו בלבבכם</w:t>
      </w:r>
      <w:r>
        <w:rPr>
          <w:rFonts w:ascii="David" w:hAnsi="David" w:cs="David"/>
          <w:sz w:val="24"/>
          <w:szCs w:val="24"/>
          <w:rtl/>
        </w:rPr>
        <w:t>" [</w:t>
      </w:r>
      <w:r>
        <w:rPr>
          <w:rFonts w:ascii="David" w:hAnsi="David" w:cs="David"/>
          <w:b/>
          <w:bCs/>
          <w:sz w:val="24"/>
          <w:szCs w:val="24"/>
          <w:rtl/>
        </w:rPr>
        <w:t>זכריה</w:t>
      </w:r>
      <w:r>
        <w:rPr>
          <w:rFonts w:ascii="David" w:hAnsi="David" w:cs="David"/>
          <w:sz w:val="24"/>
          <w:szCs w:val="24"/>
          <w:rtl/>
        </w:rPr>
        <w:t xml:space="preserve"> ז, י], ובמקום אחר מצווים אנו: "</w:t>
      </w:r>
      <w:r>
        <w:rPr>
          <w:rFonts w:ascii="Miriam" w:hAnsi="Miriam" w:cs="Miriam"/>
          <w:sz w:val="24"/>
          <w:szCs w:val="24"/>
          <w:rtl/>
        </w:rPr>
        <w:t>שנאו רע ואהבו טוב והציגו בשער משפט</w:t>
      </w:r>
      <w:r>
        <w:rPr>
          <w:rFonts w:ascii="David" w:hAnsi="David" w:cs="David"/>
          <w:sz w:val="24"/>
          <w:szCs w:val="24"/>
          <w:rtl/>
        </w:rPr>
        <w:t>" [</w:t>
      </w:r>
      <w:r>
        <w:rPr>
          <w:rFonts w:ascii="David" w:hAnsi="David" w:cs="David"/>
          <w:b/>
          <w:bCs/>
          <w:sz w:val="24"/>
          <w:szCs w:val="24"/>
          <w:rtl/>
        </w:rPr>
        <w:t xml:space="preserve">עמוס </w:t>
      </w:r>
      <w:r>
        <w:rPr>
          <w:rFonts w:ascii="David" w:hAnsi="David" w:cs="David"/>
          <w:sz w:val="24"/>
          <w:szCs w:val="24"/>
          <w:rtl/>
        </w:rPr>
        <w:t xml:space="preserve">ה, טו]. ולנבוכים שמבקשים לקדם את תפקידם ולהביאו למקום ערכי ראוי </w:t>
      </w:r>
      <w:r>
        <w:rPr>
          <w:rFonts w:ascii="David" w:hAnsi="David" w:cs="David"/>
          <w:sz w:val="24"/>
          <w:szCs w:val="24"/>
          <w:rtl/>
        </w:rPr>
        <w:lastRenderedPageBreak/>
        <w:t>לשנן מה כן צריך לעשות: "</w:t>
      </w:r>
      <w:r>
        <w:rPr>
          <w:rFonts w:ascii="Miriam" w:hAnsi="Miriam" w:cs="Miriam"/>
          <w:sz w:val="24"/>
          <w:szCs w:val="24"/>
          <w:rtl/>
        </w:rPr>
        <w:t>אלה הדברים אשר תעשו, דברו אמת איש את רעהו אמת משפט שלום שפטו בשעריכם</w:t>
      </w:r>
      <w:r>
        <w:rPr>
          <w:rFonts w:ascii="David" w:hAnsi="David" w:cs="David"/>
          <w:sz w:val="24"/>
          <w:szCs w:val="24"/>
          <w:rtl/>
        </w:rPr>
        <w:t>" [</w:t>
      </w:r>
      <w:r>
        <w:rPr>
          <w:rFonts w:ascii="David" w:hAnsi="David" w:cs="David"/>
          <w:b/>
          <w:bCs/>
          <w:sz w:val="24"/>
          <w:szCs w:val="24"/>
          <w:rtl/>
        </w:rPr>
        <w:t>זכריה</w:t>
      </w:r>
      <w:r>
        <w:rPr>
          <w:rFonts w:ascii="David" w:hAnsi="David" w:cs="David"/>
          <w:sz w:val="24"/>
          <w:szCs w:val="24"/>
          <w:rtl/>
        </w:rPr>
        <w:t xml:space="preserve"> ח, טז].</w:t>
      </w:r>
    </w:p>
    <w:p w:rsidR="00E543B0" w:rsidP="00E543B0" w:rsidRDefault="00E543B0">
      <w:pPr>
        <w:pStyle w:val="ad"/>
        <w:rPr>
          <w:rFonts w:ascii="David" w:hAnsi="David" w:cs="David"/>
          <w:sz w:val="24"/>
          <w:szCs w:val="24"/>
        </w:rPr>
      </w:pPr>
    </w:p>
    <w:p w:rsidR="00E543B0" w:rsidP="00E543B0" w:rsidRDefault="00E543B0">
      <w:pPr>
        <w:pStyle w:val="ad"/>
        <w:numPr>
          <w:ilvl w:val="0"/>
          <w:numId w:val="1"/>
        </w:numPr>
        <w:spacing w:after="0" w:line="360" w:lineRule="auto"/>
        <w:ind w:left="714" w:hanging="357"/>
        <w:jc w:val="both"/>
        <w:rPr>
          <w:rFonts w:ascii="David" w:hAnsi="David" w:cs="David"/>
          <w:sz w:val="24"/>
          <w:szCs w:val="24"/>
          <w:rtl/>
        </w:rPr>
      </w:pPr>
      <w:r>
        <w:rPr>
          <w:rFonts w:ascii="David" w:hAnsi="David" w:cs="David"/>
          <w:sz w:val="24"/>
          <w:szCs w:val="24"/>
          <w:rtl/>
        </w:rPr>
        <w:t>עורך דין המנצל והופך את גלימת עורך הדין שעל שכמו קרדום כדי להגיש תביעות אישיות מרובות, חוטא לדרישה המאמינה שגדולתו של בעל הכח הוא ביכולת לנצור כוחו ולא לעשות בו שימוש, כך למשל בספר משלי אנו מוצאים: "</w:t>
      </w:r>
      <w:r>
        <w:rPr>
          <w:rFonts w:ascii="Miriam" w:hAnsi="Miriam" w:cs="Miriam"/>
          <w:sz w:val="24"/>
          <w:szCs w:val="24"/>
          <w:rtl/>
        </w:rPr>
        <w:t>טוב ארך אפים מגבור, ומושל ברוחו מלוכד עיר</w:t>
      </w:r>
      <w:r>
        <w:rPr>
          <w:rFonts w:ascii="David" w:hAnsi="David" w:cs="David"/>
          <w:sz w:val="24"/>
          <w:szCs w:val="24"/>
          <w:rtl/>
        </w:rPr>
        <w:t>" [</w:t>
      </w:r>
      <w:r>
        <w:rPr>
          <w:rFonts w:ascii="David" w:hAnsi="David" w:cs="David"/>
          <w:b/>
          <w:bCs/>
          <w:sz w:val="24"/>
          <w:szCs w:val="24"/>
          <w:rtl/>
        </w:rPr>
        <w:t xml:space="preserve">משלי </w:t>
      </w:r>
      <w:r>
        <w:rPr>
          <w:rFonts w:ascii="David" w:hAnsi="David" w:cs="David"/>
          <w:sz w:val="24"/>
          <w:szCs w:val="24"/>
          <w:rtl/>
        </w:rPr>
        <w:t>טז, לב] וחז"ל היטיבו לבטא גישה בו בקביעתם "</w:t>
      </w:r>
      <w:r>
        <w:rPr>
          <w:rFonts w:ascii="Miriam" w:hAnsi="Miriam" w:cs="Miriam"/>
          <w:sz w:val="24"/>
          <w:szCs w:val="24"/>
          <w:rtl/>
        </w:rPr>
        <w:t>איזהו גיבור הכובש את יצרו</w:t>
      </w:r>
      <w:r>
        <w:rPr>
          <w:rFonts w:ascii="David" w:hAnsi="David" w:cs="David"/>
          <w:sz w:val="24"/>
          <w:szCs w:val="24"/>
          <w:rtl/>
        </w:rPr>
        <w:t>" [</w:t>
      </w:r>
      <w:r>
        <w:rPr>
          <w:rFonts w:ascii="David" w:hAnsi="David" w:cs="David"/>
          <w:b/>
          <w:bCs/>
          <w:sz w:val="24"/>
          <w:szCs w:val="24"/>
          <w:rtl/>
        </w:rPr>
        <w:t xml:space="preserve">אבות פרק </w:t>
      </w:r>
      <w:r>
        <w:rPr>
          <w:rFonts w:ascii="David" w:hAnsi="David" w:cs="David"/>
          <w:sz w:val="24"/>
          <w:szCs w:val="24"/>
          <w:rtl/>
        </w:rPr>
        <w:t>ד, משנה א]. ראוי ונכון שעורך דין יעשה שימוש מושכל בכוח הגלימה כדי לעזור לאחרים ולא כדי להלך אימים על כל הנקרא בדרכו.</w:t>
      </w:r>
    </w:p>
    <w:p w:rsidR="00E543B0" w:rsidP="00E543B0" w:rsidRDefault="00E543B0">
      <w:pPr>
        <w:pStyle w:val="ad"/>
        <w:rPr>
          <w:rFonts w:ascii="David" w:hAnsi="David" w:cs="David"/>
          <w:sz w:val="24"/>
          <w:szCs w:val="24"/>
        </w:rPr>
      </w:pPr>
    </w:p>
    <w:p w:rsidR="00E543B0" w:rsidP="00E543B0" w:rsidRDefault="00E543B0">
      <w:pPr>
        <w:pStyle w:val="ad"/>
        <w:numPr>
          <w:ilvl w:val="0"/>
          <w:numId w:val="1"/>
        </w:numPr>
        <w:spacing w:after="0" w:line="360" w:lineRule="auto"/>
        <w:ind w:left="714" w:hanging="357"/>
        <w:jc w:val="both"/>
        <w:rPr>
          <w:rFonts w:ascii="David" w:hAnsi="David" w:cs="David"/>
          <w:sz w:val="24"/>
          <w:szCs w:val="24"/>
          <w:rtl/>
        </w:rPr>
      </w:pPr>
      <w:r>
        <w:rPr>
          <w:rFonts w:ascii="David" w:hAnsi="David" w:cs="David"/>
          <w:sz w:val="24"/>
          <w:szCs w:val="24"/>
          <w:rtl/>
        </w:rPr>
        <w:t>עוד בשולי הדברים אוסיף ואומר כי הגדרת לשון הרע כפי שזו מופיעה בסע' 1 לחוק היא רחבה וכל דיבור על האחר יכול ויכנס תחת ההגדרה של לשון הרע. התופעה של לשון הרע מהווה אחת מהתופעות הנפוצות בחברה אנושית. שכיחותה של לשון הרע על האחר הוא כה נפוץ עד שחז"ל קובעים "</w:t>
      </w:r>
      <w:r>
        <w:rPr>
          <w:rFonts w:ascii="Miriam" w:hAnsi="Miriam" w:cs="Miriam"/>
          <w:sz w:val="24"/>
          <w:szCs w:val="24"/>
          <w:rtl/>
        </w:rPr>
        <w:t>והכל בלשון הרע</w:t>
      </w:r>
      <w:r>
        <w:rPr>
          <w:rFonts w:ascii="David" w:hAnsi="David" w:cs="David"/>
          <w:sz w:val="24"/>
          <w:szCs w:val="24"/>
          <w:rtl/>
        </w:rPr>
        <w:t xml:space="preserve">" [בבלי </w:t>
      </w:r>
      <w:r>
        <w:rPr>
          <w:rFonts w:ascii="David" w:hAnsi="David" w:cs="David"/>
          <w:b/>
          <w:bCs/>
          <w:sz w:val="24"/>
          <w:szCs w:val="24"/>
          <w:rtl/>
        </w:rPr>
        <w:t>בבא בתרא</w:t>
      </w:r>
      <w:r>
        <w:rPr>
          <w:rFonts w:ascii="David" w:hAnsi="David" w:cs="David"/>
          <w:sz w:val="24"/>
          <w:szCs w:val="24"/>
          <w:rtl/>
        </w:rPr>
        <w:t xml:space="preserve">, דף קסה, עמוד א] מפני לשון הרע אין לאדם חסינות, ועצם הדיבור על הזולת יש בו משהו שראוי להתרחק ממנו. בשים לב לקביעה זו השאלה הבוקעת היא האם כל לשון הרע מצדיק ריצה לבית המשפט והגשת תביעה. האם כל 'מעידה' או 'התחלקות' לשונית שווה לפיצוי כספי. האם מבקשים אנו להשתית חברה מנוכרת, לעומתית או חברה שמסוגלת להכיל ולהבליג. בתפילת השבת, לאחר קריאת התורה ובטרם מתפללים מוסף מופיעה תפילה על הציבור, בסידור מכונה תפילה זו "מי שברך לקהל' בתפילה זו מברך השליח ציבור ברכה כללית את כל הקהל, </w:t>
      </w:r>
      <w:r>
        <w:rPr>
          <w:rFonts w:ascii="Miriam" w:hAnsi="Miriam" w:cs="Miriam"/>
          <w:sz w:val="24"/>
          <w:szCs w:val="24"/>
          <w:rtl/>
        </w:rPr>
        <w:t>'גדולים וקטנים, הם ונשיהם ובניהם ותלמידיהם וכל אשר להם'</w:t>
      </w:r>
      <w:r>
        <w:rPr>
          <w:rFonts w:ascii="David" w:hAnsi="David" w:cs="David"/>
          <w:sz w:val="24"/>
          <w:szCs w:val="24"/>
          <w:rtl/>
        </w:rPr>
        <w:t xml:space="preserve"> ומה מברכים השליח ציבור את הקהל: </w:t>
      </w:r>
      <w:r>
        <w:rPr>
          <w:rFonts w:ascii="Miriam" w:hAnsi="Miriam" w:cs="Miriam"/>
          <w:sz w:val="24"/>
          <w:szCs w:val="24"/>
          <w:rtl/>
        </w:rPr>
        <w:t>"ויטע ביניהם אהבה ואחווה, שלום ורעות, ויסלק שנאת חינם מבינכם''</w:t>
      </w:r>
      <w:r>
        <w:rPr>
          <w:rFonts w:ascii="David" w:hAnsi="David" w:cs="David"/>
          <w:sz w:val="24"/>
          <w:szCs w:val="24"/>
          <w:rtl/>
        </w:rPr>
        <w:t>. כמה קסומה ונפלאה התפילה וכמה צריך כל אחד ואחד ליתן דעתו לדברים.</w:t>
      </w:r>
    </w:p>
    <w:p w:rsidR="00E543B0" w:rsidP="00E543B0" w:rsidRDefault="00E543B0">
      <w:pPr>
        <w:pStyle w:val="ad"/>
        <w:rPr>
          <w:rFonts w:ascii="David" w:hAnsi="David" w:cs="David"/>
          <w:sz w:val="24"/>
          <w:szCs w:val="24"/>
        </w:rPr>
      </w:pPr>
    </w:p>
    <w:p w:rsidR="00E543B0" w:rsidP="00E543B0" w:rsidRDefault="00E543B0">
      <w:pPr>
        <w:pStyle w:val="ad"/>
        <w:numPr>
          <w:ilvl w:val="0"/>
          <w:numId w:val="1"/>
        </w:numPr>
        <w:spacing w:after="0" w:line="360" w:lineRule="auto"/>
        <w:ind w:left="714" w:hanging="357"/>
        <w:jc w:val="both"/>
        <w:rPr>
          <w:rFonts w:ascii="David" w:hAnsi="David" w:cs="David"/>
          <w:sz w:val="24"/>
          <w:szCs w:val="24"/>
          <w:rtl/>
        </w:rPr>
      </w:pPr>
      <w:r>
        <w:rPr>
          <w:rFonts w:ascii="David" w:hAnsi="David" w:cs="David"/>
          <w:sz w:val="24"/>
          <w:szCs w:val="24"/>
          <w:rtl/>
        </w:rPr>
        <w:t xml:space="preserve">ודוק: יש לשמור את היישום וההפעלה של חוק איסור לשון הרע למקרים הקיצוניים, לצורך למגר את השיסוי, הביזוי, ההשפלה. להותיר את החוק להתמודד עם מי שמבקשים לנצל את כוח הדיבור כדי לזרוע 'רוע' להשחית ולקלקל. </w:t>
      </w:r>
    </w:p>
    <w:p w:rsidR="00E543B0" w:rsidP="00E543B0" w:rsidRDefault="00E543B0">
      <w:pPr>
        <w:pStyle w:val="ad"/>
        <w:rPr>
          <w:rFonts w:ascii="David" w:hAnsi="David" w:cs="David"/>
          <w:sz w:val="24"/>
          <w:szCs w:val="24"/>
          <w:rtl/>
        </w:rPr>
      </w:pPr>
    </w:p>
    <w:p w:rsidR="00E543B0" w:rsidP="00E543B0" w:rsidRDefault="00E543B0">
      <w:pPr>
        <w:pStyle w:val="ad"/>
        <w:rPr>
          <w:rFonts w:ascii="David" w:hAnsi="David" w:cs="David"/>
          <w:sz w:val="24"/>
          <w:szCs w:val="24"/>
          <w:rtl/>
        </w:rPr>
      </w:pPr>
    </w:p>
    <w:p w:rsidR="00E543B0" w:rsidP="00E543B0" w:rsidRDefault="00E543B0">
      <w:pPr>
        <w:ind w:firstLine="357"/>
        <w:rPr>
          <w:rFonts w:ascii="Miriam" w:hAnsi="Miriam" w:cs="Miriam"/>
          <w:u w:val="single"/>
          <w:rtl/>
        </w:rPr>
      </w:pPr>
      <w:r>
        <w:rPr>
          <w:rFonts w:ascii="Miriam" w:hAnsi="Miriam" w:cs="Miriam"/>
          <w:u w:val="single"/>
          <w:rtl/>
        </w:rPr>
        <w:t xml:space="preserve">סוף דבר הכל נשמע </w:t>
      </w:r>
      <w:r>
        <w:rPr>
          <w:rFonts w:ascii="David" w:hAnsi="David"/>
          <w:u w:val="single"/>
          <w:rtl/>
        </w:rPr>
        <w:t>[</w:t>
      </w:r>
      <w:r w:rsidRPr="00E543B0">
        <w:rPr>
          <w:rFonts w:ascii="David" w:hAnsi="David"/>
          <w:b/>
          <w:bCs/>
          <w:u w:val="single"/>
          <w:rtl/>
        </w:rPr>
        <w:t>קהלת</w:t>
      </w:r>
      <w:r>
        <w:rPr>
          <w:rFonts w:ascii="David" w:hAnsi="David"/>
          <w:u w:val="single"/>
          <w:rtl/>
        </w:rPr>
        <w:t xml:space="preserve"> יב, יג]</w:t>
      </w:r>
    </w:p>
    <w:p w:rsidR="00E543B0" w:rsidP="00E543B0" w:rsidRDefault="00E543B0">
      <w:pPr>
        <w:pStyle w:val="ad"/>
        <w:rPr>
          <w:rFonts w:ascii="David" w:hAnsi="David" w:cs="David"/>
          <w:sz w:val="24"/>
          <w:szCs w:val="24"/>
        </w:rPr>
      </w:pPr>
    </w:p>
    <w:p w:rsidR="00E543B0" w:rsidP="00E543B0" w:rsidRDefault="00E543B0">
      <w:pPr>
        <w:pStyle w:val="ad"/>
        <w:numPr>
          <w:ilvl w:val="0"/>
          <w:numId w:val="1"/>
        </w:numPr>
        <w:spacing w:after="0" w:line="360" w:lineRule="auto"/>
        <w:rPr>
          <w:rFonts w:ascii="David" w:hAnsi="David" w:cs="David"/>
          <w:sz w:val="24"/>
          <w:szCs w:val="24"/>
        </w:rPr>
      </w:pPr>
      <w:r>
        <w:rPr>
          <w:rFonts w:ascii="David" w:hAnsi="David" w:cs="David"/>
          <w:sz w:val="24"/>
          <w:szCs w:val="24"/>
          <w:rtl/>
        </w:rPr>
        <w:t>דין התביעה להידחות על הסף מהטעם שהדברים חוסים תחת ההגנה הקבועה בסע' 13(5) לחוק איסור לשון הרע.</w:t>
      </w:r>
    </w:p>
    <w:p w:rsidR="00E543B0" w:rsidP="00E543B0" w:rsidRDefault="00E543B0">
      <w:pPr>
        <w:pStyle w:val="ad"/>
        <w:spacing w:after="0" w:line="360" w:lineRule="auto"/>
        <w:rPr>
          <w:rFonts w:ascii="David" w:hAnsi="David" w:cs="David"/>
          <w:sz w:val="24"/>
          <w:szCs w:val="24"/>
        </w:rPr>
      </w:pPr>
    </w:p>
    <w:p w:rsidR="00E543B0" w:rsidP="00E543B0" w:rsidRDefault="00E543B0">
      <w:pPr>
        <w:pStyle w:val="ad"/>
        <w:numPr>
          <w:ilvl w:val="0"/>
          <w:numId w:val="1"/>
        </w:numPr>
        <w:spacing w:after="0" w:line="360" w:lineRule="auto"/>
        <w:rPr>
          <w:rFonts w:ascii="David" w:hAnsi="David" w:cs="David"/>
          <w:sz w:val="24"/>
          <w:szCs w:val="24"/>
        </w:rPr>
      </w:pPr>
      <w:r>
        <w:rPr>
          <w:rFonts w:ascii="David" w:hAnsi="David" w:cs="David"/>
          <w:sz w:val="24"/>
          <w:szCs w:val="24"/>
          <w:rtl/>
        </w:rPr>
        <w:t>התובעת תשא בהוצאות הנתבע 500 ₪ ובשכ"ט עורך דין בסך של 8,500 ₪ שישולמו בתוך 30 יום מ</w:t>
      </w:r>
      <w:r>
        <w:rPr>
          <w:rFonts w:hint="cs" w:ascii="David" w:hAnsi="David" w:cs="David"/>
          <w:sz w:val="24"/>
          <w:szCs w:val="24"/>
          <w:rtl/>
        </w:rPr>
        <w:t>יום המצאת פסק הדין</w:t>
      </w:r>
      <w:r>
        <w:rPr>
          <w:rFonts w:ascii="David" w:hAnsi="David" w:cs="David"/>
          <w:sz w:val="24"/>
          <w:szCs w:val="24"/>
          <w:rtl/>
        </w:rPr>
        <w:t xml:space="preserve">. </w:t>
      </w:r>
    </w:p>
    <w:p w:rsidR="00E543B0" w:rsidP="00E543B0" w:rsidRDefault="00E543B0">
      <w:pPr>
        <w:pStyle w:val="ad"/>
        <w:spacing w:after="0" w:line="360" w:lineRule="auto"/>
        <w:rPr>
          <w:rFonts w:ascii="David" w:hAnsi="David" w:cs="David"/>
          <w:sz w:val="24"/>
          <w:szCs w:val="24"/>
        </w:rPr>
      </w:pPr>
    </w:p>
    <w:p w:rsidR="00E543B0" w:rsidP="00E543B0" w:rsidRDefault="00E543B0">
      <w:pPr>
        <w:pStyle w:val="ad"/>
        <w:numPr>
          <w:ilvl w:val="0"/>
          <w:numId w:val="1"/>
        </w:numPr>
        <w:spacing w:after="0" w:line="360" w:lineRule="auto"/>
        <w:rPr>
          <w:rFonts w:ascii="David" w:hAnsi="David" w:cs="David"/>
          <w:sz w:val="24"/>
          <w:szCs w:val="24"/>
        </w:rPr>
      </w:pPr>
      <w:r>
        <w:rPr>
          <w:rFonts w:ascii="David" w:hAnsi="David" w:cs="David"/>
          <w:sz w:val="24"/>
          <w:szCs w:val="24"/>
          <w:rtl/>
        </w:rPr>
        <w:lastRenderedPageBreak/>
        <w:t>זכות ערעור לבית המשפט המחוזי בהתאם לתקנות סדר הדין האזרחי.</w:t>
      </w:r>
    </w:p>
    <w:p w:rsidR="00E543B0" w:rsidP="00E543B0" w:rsidRDefault="00E543B0">
      <w:pPr>
        <w:pStyle w:val="ad"/>
        <w:spacing w:after="0" w:line="360" w:lineRule="auto"/>
        <w:rPr>
          <w:rFonts w:ascii="David" w:hAnsi="David" w:cs="David"/>
          <w:sz w:val="24"/>
          <w:szCs w:val="24"/>
        </w:rPr>
      </w:pPr>
    </w:p>
    <w:p w:rsidR="00E543B0" w:rsidP="00E543B0" w:rsidRDefault="00E543B0">
      <w:pPr>
        <w:pStyle w:val="ad"/>
        <w:numPr>
          <w:ilvl w:val="0"/>
          <w:numId w:val="1"/>
        </w:numPr>
        <w:spacing w:after="0" w:line="360" w:lineRule="auto"/>
        <w:rPr>
          <w:rFonts w:ascii="David" w:hAnsi="David" w:cs="David"/>
          <w:sz w:val="24"/>
          <w:szCs w:val="24"/>
        </w:rPr>
      </w:pPr>
      <w:r>
        <w:rPr>
          <w:rFonts w:ascii="David" w:hAnsi="David" w:cs="David"/>
          <w:sz w:val="24"/>
          <w:szCs w:val="24"/>
          <w:rtl/>
        </w:rPr>
        <w:t>המזכירות תמציא עותק מפסק הדין לצדדים.</w:t>
      </w:r>
    </w:p>
    <w:p w:rsidRPr="00E543B0" w:rsidR="00694556" w:rsidRDefault="00694556">
      <w:pPr>
        <w:spacing w:line="360" w:lineRule="auto"/>
        <w:jc w:val="both"/>
        <w:rPr>
          <w:rFonts w:ascii="Arial" w:hAnsi="Arial"/>
          <w:noProof w:val="0"/>
          <w:rtl/>
        </w:rPr>
      </w:pPr>
    </w:p>
    <w:p w:rsidR="00694556" w:rsidRDefault="00694556">
      <w:pPr>
        <w:spacing w:line="360" w:lineRule="auto"/>
        <w:jc w:val="both"/>
        <w:rPr>
          <w:rFonts w:ascii="Arial" w:hAnsi="Arial"/>
          <w:noProof w:val="0"/>
          <w:rtl/>
        </w:rPr>
      </w:pPr>
    </w:p>
    <w:p w:rsidR="00694556" w:rsidRDefault="00694556">
      <w:pPr>
        <w:spacing w:line="360" w:lineRule="auto"/>
        <w:jc w:val="both"/>
        <w:rPr>
          <w:rFonts w:ascii="Arial" w:hAnsi="Arial"/>
          <w:noProof w:val="0"/>
          <w:rtl/>
        </w:rPr>
      </w:pPr>
    </w:p>
    <w:p w:rsidR="00694556" w:rsidRDefault="00694556">
      <w:pPr>
        <w:spacing w:line="360" w:lineRule="auto"/>
        <w:jc w:val="both"/>
        <w:rPr>
          <w:rFonts w:ascii="Arial" w:hAnsi="Arial"/>
          <w:noProof w:val="0"/>
          <w:rtl/>
        </w:rPr>
      </w:pPr>
    </w:p>
    <w:p w:rsidR="00694556" w:rsidRDefault="00694556">
      <w:pPr>
        <w:spacing w:line="360" w:lineRule="auto"/>
        <w:jc w:val="both"/>
        <w:rPr>
          <w:rFonts w:ascii="Arial" w:hAnsi="Arial"/>
          <w:noProof w:val="0"/>
          <w:rtl/>
        </w:rPr>
      </w:pPr>
    </w:p>
    <w:p w:rsidR="00694556" w:rsidRDefault="0043502B">
      <w:pPr>
        <w:spacing w:line="360" w:lineRule="auto"/>
        <w:jc w:val="both"/>
        <w:rPr>
          <w:rFonts w:ascii="Arial" w:hAnsi="Arial"/>
          <w:noProof w:val="0"/>
          <w:rtl/>
        </w:rPr>
      </w:pPr>
      <w:r>
        <w:rPr>
          <w:rFonts w:ascii="Arial" w:hAnsi="Arial"/>
          <w:noProof w:val="0"/>
          <w:rtl/>
        </w:rPr>
        <w:t>נית</w:t>
      </w:r>
      <w:r>
        <w:rPr>
          <w:rFonts w:hint="cs" w:ascii="Arial" w:hAnsi="Arial"/>
          <w:noProof w:val="0"/>
          <w:rtl/>
        </w:rPr>
        <w:t>נה</w:t>
      </w:r>
      <w:r w:rsidR="00005C8B">
        <w:rPr>
          <w:rFonts w:ascii="Arial" w:hAnsi="Arial"/>
          <w:noProof w:val="0"/>
          <w:rtl/>
        </w:rPr>
        <w:t xml:space="preserve"> היום, </w:t>
      </w:r>
      <w:r w:rsidR="00D54B61">
        <w:rPr>
          <w:rFonts w:hint="cs"/>
          <w:rtl/>
        </w:rPr>
        <w:t>ב</w:t>
      </w:r>
      <w:sdt>
        <w:sdtPr>
          <w:rPr>
            <w:rtl/>
          </w:rPr>
          <w:alias w:val="1455"/>
          <w:tag w:val="1455"/>
          <w:id w:val="1666048407"/>
          <w:text w:multiLine="1"/>
        </w:sdtPr>
        <w:sdtEndPr/>
        <w:sdtContent>
          <w:r>
            <w:rPr>
              <w:rFonts w:ascii="Arial" w:hAnsi="Arial"/>
              <w:noProof w:val="0"/>
              <w:rtl/>
            </w:rPr>
            <w:t>כ' אב תשפ"ו</w:t>
          </w:r>
        </w:sdtContent>
      </w:sdt>
      <w:r w:rsidR="00005C8B">
        <w:rPr>
          <w:rFonts w:ascii="Arial" w:hAnsi="Arial"/>
          <w:noProof w:val="0"/>
          <w:rtl/>
        </w:rPr>
        <w:t xml:space="preserve">, </w:t>
      </w:r>
      <w:r w:rsidR="00D54B61">
        <w:rPr>
          <w:rFonts w:hint="cs" w:ascii="Arial" w:hAnsi="Arial"/>
          <w:noProof w:val="0"/>
          <w:rtl/>
        </w:rPr>
        <w:t>ב</w:t>
      </w:r>
      <w:sdt>
        <w:sdtPr>
          <w:rPr>
            <w:rtl/>
          </w:rPr>
          <w:alias w:val="1456"/>
          <w:tag w:val="1456"/>
          <w:id w:val="-1186288958"/>
          <w:text w:multiLine="1"/>
        </w:sdtPr>
        <w:sdtEndPr/>
        <w:sdtContent>
          <w:r>
            <w:rPr>
              <w:rFonts w:ascii="Arial" w:hAnsi="Arial"/>
              <w:noProof w:val="0"/>
              <w:rtl/>
            </w:rPr>
            <w:t>03 אוגוסט 2026</w:t>
          </w:r>
        </w:sdtContent>
      </w:sdt>
      <w:r w:rsidR="00005C8B">
        <w:rPr>
          <w:rFonts w:ascii="Arial" w:hAnsi="Arial"/>
          <w:noProof w:val="0"/>
          <w:rtl/>
        </w:rPr>
        <w:t>, בהעדר הצדדים.</w:t>
      </w:r>
    </w:p>
    <w:p w:rsidR="00C43648" w:rsidP="00BD6531" w:rsidRDefault="00E543B0">
      <w:pPr>
        <w:tabs>
          <w:tab w:val="left" w:pos="2553"/>
        </w:tabs>
        <w:ind w:left="5040"/>
        <w:rPr>
          <w:rtl/>
        </w:rPr>
      </w:pPr>
      <w:sdt>
        <w:sdtPr>
          <w:rPr>
            <w:rFonts w:hint="cs"/>
            <w:rtl/>
          </w:rPr>
          <w:alias w:val="2045"/>
          <w:tag w:val="2045"/>
          <w:id w:val="740689340"/>
          <w:placeholder>
            <w:docPart w:val="E460D38E05664FF79D4EFF282EF8EC99"/>
          </w:placeholder>
          <w:showingPlcHdr/>
          <w:text w:multiLine="1"/>
        </w:sdtPr>
        <w:sdtEndPr/>
        <w:sdtContent>
          <w:r w:rsidR="00C43648">
            <w:rPr>
              <w:rFonts w:hint="cs"/>
              <w:rtl/>
            </w:rPr>
            <w:t xml:space="preserve">     </w:t>
          </w:r>
        </w:sdtContent>
      </w:sdt>
    </w:p>
    <w:p w:rsidR="00694556" w:rsidP="00BD6531" w:rsidRDefault="00BD6531">
      <w:pPr>
        <w:tabs>
          <w:tab w:val="left" w:pos="2553"/>
        </w:tabs>
        <w:rPr>
          <w:rFonts w:ascii="Arial" w:hAnsi="Arial"/>
          <w:noProof w:val="0"/>
          <w:rtl/>
        </w:rPr>
      </w:pPr>
      <w:r>
        <w:rPr>
          <w:rFonts w:hint="cs"/>
          <w:rtl/>
        </w:rPr>
        <w:tab/>
      </w:r>
      <w:r>
        <w:rPr>
          <w:rFonts w:hint="cs"/>
          <w:rtl/>
        </w:rPr>
        <w:tab/>
      </w:r>
      <w:r>
        <w:rPr>
          <w:rFonts w:hint="cs"/>
          <w:rtl/>
        </w:rPr>
        <w:tab/>
      </w:r>
      <w:r>
        <w:rPr>
          <w:rFonts w:hint="cs"/>
          <w:rtl/>
        </w:rPr>
        <w:tab/>
        <w:t xml:space="preserve">        </w:t>
      </w:r>
      <w:bookmarkEnd w:id="0"/>
      <w:sdt>
        <w:sdtPr>
          <w:alias w:val="MergeField"/>
          <w:tag w:val="1237"/>
        </w:sdtPr>
        <w:sdtContent>
          <w:p>
            <w:pPr/>
            <w:r>
              <w:drawing>
                <wp:inline distT="0" distB="0" distL="0" distR="0" wp14:editId="50D07946">
                  <wp:extent cx="1638300" cy="1095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37.jpg"/>
                          <pic:cNvPicPr/>
                        </pic:nvPicPr>
                        <pic:blipFill>
                          <a:blip r:embed="Rde94322d2a1949bf" cstate="print">
                            <a:extLst>
                              <a:ext uri="{28A0092B-C50C-407E-A947-70E740481C1C}"/>
                            </a:extLst>
                          </a:blip>
                          <a:stretch>
                            <a:fillRect/>
                          </a:stretch>
                        </pic:blipFill>
                        <pic:spPr>
                          <a:xfrm>
                            <a:off x="0" y="0"/>
                            <a:ext cx="1638300" cy="1095375"/>
                          </a:xfrm>
                          <a:prstGeom prst="rect">
                            <a:avLst/>
                          </a:prstGeom>
                        </pic:spPr>
                      </pic:pic>
                    </a:graphicData>
                  </a:graphic>
                </wp:inline>
              </w:drawing>
            </w:r>
          </w:p>
        </w:sdtContent>
      </w:sdt>
    </w:p>
    <w:sectPr w:rsidR="00694556" w:rsidSect="0016615E">
      <w:headerReference w:type="even" r:id="rId11"/>
      <w:headerReference w:type="default" r:id="rId12"/>
      <w:footerReference w:type="even" r:id="rId13"/>
      <w:footerReference w:type="default" r:id="rId14"/>
      <w:headerReference w:type="first" r:id="rId15"/>
      <w:footerReference w:type="first" r:id="rId16"/>
      <w:pgSz w:w="11907" w:h="16840" w:code="9"/>
      <w:pgMar w:top="1440" w:right="1800" w:bottom="1440" w:left="1800" w:header="720" w:footer="510" w:gutter="0"/>
      <w:cols w:space="720"/>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072">
      <wne:macro wne:macroName="PROJECT.MODULE1.CONTROLWDKEYF3A"/>
    </wne:keymap>
    <wne:keymap wne:kcmPrimary="0073">
      <wne:macro wne:macroName="PROJECT.MODULE1.CONTROLWDKEYF4A"/>
    </wne:keymap>
    <wne:keymap wne:kcmPrimary="0431">
      <wne:macro wne:macroName="PROJECT.MODULE1.CONTROLWDKEY1"/>
    </wne:keymap>
    <wne:keymap wne:kcmPrimary="0432">
      <wne:macro wne:macroName="PROJECT.MODULE1.CONTROLWDKEY2"/>
    </wne:keymap>
    <wne:keymap wne:kcmPrimary="0433">
      <wne:macro wne:macroName="PROJECT.MODULE1.CONTROLWDKEY3"/>
    </wne:keymap>
    <wne:keymap wne:kcmPrimary="0434">
      <wne:macro wne:macroName="PROJECT.MODULE1.CONTROLWDKEY4"/>
    </wne:keymap>
    <wne:keymap wne:kcmPrimary="0435">
      <wne:macro wne:macroName="PROJECT.MODULE1.CONTROLWDKEY5"/>
    </wne:keymap>
    <wne:keymap wne:kcmPrimary="0436">
      <wne:macro wne:macroName="PROJECT.MODULE1.CONTROLWDKEY6"/>
    </wne:keymap>
    <wne:keymap wne:kcmPrimary="0437">
      <wne:macro wne:macroName="PROJECT.MODULE1.CONTROLWDKEY7"/>
    </wne:keymap>
    <wne:keymap wne:kcmPrimary="0441">
      <wne:macro wne:macroName="PROJECT.MODULE1.CONTROLWDKEYA"/>
    </wne:keymap>
    <wne:keymap wne:kcmPrimary="0442">
      <wne:macro wne:macroName="PROJECT.MODULE1.CONTROLWDKEYB"/>
    </wne:keymap>
    <wne:keymap wne:kcmPrimary="0443">
      <wne:macro wne:macroName="PROJECT.MODULE1.CONTROLWDKEYC"/>
    </wne:keymap>
    <wne:keymap wne:kcmPrimary="0444">
      <wne:macro wne:macroName="PROJECT.MODULE1.CONTROLWDKEYD"/>
    </wne:keymap>
    <wne:keymap wne:kcmPrimary="0445">
      <wne:macro wne:macroName="PROJECT.MODULE1.CONTROLWDKEYE"/>
    </wne:keymap>
    <wne:keymap wne:kcmPrimary="0446">
      <wne:macro wne:macroName="PROJECT.MODULE1.CONTROLWDKEYF"/>
    </wne:keymap>
    <wne:keymap wne:kcmPrimary="0447">
      <wne:macro wne:macroName="PROJECT.MODULE1.CONTROLWDKEYG"/>
    </wne:keymap>
    <wne:keymap wne:kcmPrimary="0448">
      <wne:macro wne:macroName="PROJECT.MODULE1.CONTROLWDKEYH"/>
    </wne:keymap>
    <wne:keymap wne:kcmPrimary="044A">
      <wne:macro wne:macroName="PROJECT.MODULE1.CONTROLWDKEYJ"/>
    </wne:keymap>
    <wne:keymap wne:kcmPrimary="044B">
      <wne:macro wne:macroName="PROJECT.MODULE1.CONTROLWDKEYK"/>
    </wne:keymap>
    <wne:keymap wne:kcmPrimary="044C">
      <wne:macro wne:macroName="PROJECT.MODULE1.CONTROLWDKEYL"/>
    </wne:keymap>
    <wne:keymap wne:kcmPrimary="044D">
      <wne:macro wne:macroName="PROJECT.MODULE1.CONTROLWDKEYM"/>
    </wne:keymap>
    <wne:keymap wne:kcmPrimary="044E">
      <wne:macro wne:macroName="PROJECT.MODULE1.CONTROLWDKEYN"/>
    </wne:keymap>
    <wne:keymap wne:kcmPrimary="0450">
      <wne:macro wne:macroName="PROJECT.MODULE1.CONTROLWDKEYP"/>
    </wne:keymap>
    <wne:keymap wne:kcmPrimary="0451">
      <wne:macro wne:macroName="PROJECT.MODULE1.CONTROLWDKEYQ"/>
    </wne:keymap>
    <wne:keymap wne:kcmPrimary="0452">
      <wne:macro wne:macroName="PROJECT.MODULE1.CONTROLWDKEYR"/>
    </wne:keymap>
    <wne:keymap wne:kcmPrimary="0453">
      <wne:macro wne:macroName="PROJECT.MODULE1.CONTROLWDKEYS"/>
    </wne:keymap>
    <wne:keymap wne:kcmPrimary="0454">
      <wne:macro wne:macroName="PROJECT.MODULE1.CONTROLWDKEYT"/>
    </wne:keymap>
    <wne:keymap wne:kcmPrimary="0455">
      <wne:macro wne:macroName="PROJECT.MODULE1.CONTROLWDKEYU"/>
    </wne:keymap>
    <wne:keymap wne:kcmPrimary="0456">
      <wne:macro wne:macroName="PROJECT.MODULE1.CONTROLWDKEYV"/>
    </wne:keymap>
    <wne:keymap wne:kcmPrimary="0457">
      <wne:macro wne:macroName="PROJECT.MODULE1.CONTROLWDKEYW"/>
    </wne:keymap>
    <wne:keymap wne:kcmPrimary="0458">
      <wne:macro wne:macroName="PROJECT.MODULE1.CONTROLWDKEYX"/>
    </wne:keymap>
    <wne:keymap wne:kcmPrimary="0459">
      <wne:macro wne:macroName="PROJECT.MODULE1.CONTROLWDKEYY"/>
    </wne:keymap>
    <wne:keymap wne:kcmPrimary="045A">
      <wne:macro wne:macroName="PROJECT.MODULE1.CONTROLWDKEYZ"/>
    </wne:keymap>
    <wne:keymap wne:kcmPrimary="0470">
      <wne:macro wne:macroName="PROJECT.MODULE1.CONTROLWDKEYF1"/>
    </wne:keymap>
    <wne:keymap wne:kcmPrimary="0471">
      <wne:macro wne:macroName="PROJECT.MODULE1.CONTROLWDKEYF2"/>
    </wne:keymap>
    <wne:keymap wne:kcmPrimary="0474">
      <wne:macro wne:macroName="PROJECT.MODULE1.CONTROLWDKEYF5"/>
    </wne:keymap>
    <wne:keymap wne:kcmPrimary="0475">
      <wne:macro wne:macroName="PROJECT.MODULE1.CONTROLWDKEYF6"/>
    </wne:keymap>
    <wne:keymap wne:kcmPrimary="0476">
      <wne:macro wne:macroName="PROJECT.MODULE1.CONTROLWDKEYF7"/>
    </wne:keymap>
    <wne:keymap wne:kcmPrimary="0478">
      <wne:macro wne:macroName="PROJECT.MODULE1.CONTROLWDKEYF9"/>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4556" w:rsidRDefault="00005C8B">
      <w:r>
        <w:separator/>
      </w:r>
    </w:p>
  </w:endnote>
  <w:endnote w:type="continuationSeparator" w:id="0">
    <w:p w:rsidR="00694556" w:rsidRDefault="00005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3B0" w:rsidRDefault="00E543B0">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386327" w:rsidR="00694556" w:rsidRDefault="000C3B60">
    <w:pPr>
      <w:pStyle w:val="a4"/>
      <w:jc w:val="center"/>
      <w:rPr>
        <w:rStyle w:val="ab"/>
      </w:rPr>
    </w:pPr>
    <w:r w:rsidRPr="00386327">
      <w:rPr>
        <w:rStyle w:val="ab"/>
      </w:rPr>
      <w:fldChar w:fldCharType="begin"/>
    </w:r>
    <w:r w:rsidRPr="00386327" w:rsidR="00005C8B">
      <w:rPr>
        <w:rStyle w:val="ab"/>
      </w:rPr>
      <w:instrText xml:space="preserve"> PAGE </w:instrText>
    </w:r>
    <w:r w:rsidRPr="00386327">
      <w:rPr>
        <w:rStyle w:val="ab"/>
      </w:rPr>
      <w:fldChar w:fldCharType="separate"/>
    </w:r>
    <w:r w:rsidR="00E543B0">
      <w:rPr>
        <w:rStyle w:val="ab"/>
        <w:rtl/>
      </w:rPr>
      <w:t>21</w:t>
    </w:r>
    <w:r w:rsidRPr="00386327">
      <w:rPr>
        <w:rStyle w:val="ab"/>
      </w:rPr>
      <w:fldChar w:fldCharType="end"/>
    </w:r>
    <w:r w:rsidRPr="00386327" w:rsidR="00005C8B">
      <w:rPr>
        <w:rStyle w:val="ab"/>
        <w:rFonts w:hint="cs"/>
        <w:rtl/>
      </w:rPr>
      <w:t xml:space="preserve"> מתוך </w:t>
    </w:r>
    <w:r w:rsidRPr="00386327">
      <w:rPr>
        <w:rStyle w:val="ab"/>
      </w:rPr>
      <w:fldChar w:fldCharType="begin"/>
    </w:r>
    <w:r w:rsidRPr="00386327" w:rsidR="00005C8B">
      <w:rPr>
        <w:rStyle w:val="ab"/>
      </w:rPr>
      <w:instrText xml:space="preserve"> NUMPAGES </w:instrText>
    </w:r>
    <w:r w:rsidRPr="00386327">
      <w:rPr>
        <w:rStyle w:val="ab"/>
      </w:rPr>
      <w:fldChar w:fldCharType="separate"/>
    </w:r>
    <w:r w:rsidR="00E543B0">
      <w:rPr>
        <w:rStyle w:val="ab"/>
        <w:rtl/>
      </w:rPr>
      <w:t>22</w:t>
    </w:r>
    <w:r w:rsidRPr="00386327">
      <w:rPr>
        <w:rStyle w:val="a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3B0" w:rsidRDefault="00E543B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4556" w:rsidRDefault="00005C8B">
      <w:r>
        <w:separator/>
      </w:r>
    </w:p>
  </w:footnote>
  <w:footnote w:type="continuationSeparator" w:id="0">
    <w:p w:rsidR="00694556" w:rsidRDefault="00005C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3B0" w:rsidRDefault="00E543B0">
    <w:pPr>
      <w:pStyle w:val="a3"/>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556" w:rsidRDefault="00DC1259">
    <w:pPr>
      <w:pStyle w:val="a3"/>
      <w:jc w:val="center"/>
      <w:rPr>
        <w:rFonts w:cs="FrankRuehl"/>
        <w:noProof w:val="0"/>
        <w:sz w:val="28"/>
        <w:szCs w:val="28"/>
        <w:rtl/>
      </w:rPr>
    </w:pPr>
    <w:r>
      <w:rPr>
        <w:rFonts w:cs="FrankRuehl"/>
        <w:sz w:val="28"/>
        <w:szCs w:val="28"/>
      </w:rPr>
      <w:drawing>
        <wp:inline distT="0" distB="0" distL="0" distR="0" wp14:anchorId="58B64619" wp14:editId="63AC1D2C">
          <wp:extent cx="374015" cy="469265"/>
          <wp:effectExtent l="0" t="0" r="6985" b="6985"/>
          <wp:docPr id="1" name="Picture 1" descr="ישראל - המנורה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ישראל - המנורה -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015" cy="469265"/>
                  </a:xfrm>
                  <a:prstGeom prst="rect">
                    <a:avLst/>
                  </a:prstGeom>
                  <a:noFill/>
                  <a:ln>
                    <a:noFill/>
                  </a:ln>
                </pic:spPr>
              </pic:pic>
            </a:graphicData>
          </a:graphic>
        </wp:inline>
      </w:drawing>
    </w:r>
  </w:p>
  <w:tbl>
    <w:tblPr>
      <w:bidiVisual/>
      <w:tblW w:w="0" w:type="auto"/>
      <w:jc w:val="center"/>
      <w:tblLook w:val="0000" w:firstRow="0" w:lastRow="0" w:firstColumn="0" w:lastColumn="0" w:noHBand="0" w:noVBand="0"/>
    </w:tblPr>
    <w:tblGrid>
      <w:gridCol w:w="8307"/>
    </w:tblGrid>
    <w:tr w:rsidR="00694556" w:rsidTr="001C5573">
      <w:trPr>
        <w:trHeight w:val="510" w:hRule="exact"/>
        <w:jc w:val="center"/>
      </w:trPr>
      <w:sdt>
        <w:sdtPr>
          <w:rPr>
            <w:rFonts w:ascii="Tahoma" w:hAnsi="Tahoma"/>
            <w:b/>
            <w:bCs/>
            <w:color w:val="000080"/>
            <w:sz w:val="32"/>
            <w:szCs w:val="32"/>
            <w:rtl/>
          </w:rPr>
          <w:alias w:val="1174"/>
          <w:tag w:val="1174"/>
          <w:id w:val="-1585920285"/>
          <w:text w:multiLine="1"/>
        </w:sdtPr>
        <w:sdtEndPr/>
        <w:sdtContent>
          <w:tc>
            <w:tcPr>
              <w:tcW w:w="8505" w:type="dxa"/>
            </w:tcPr>
            <w:p w:rsidR="001C5573" w:rsidP="001C5573" w:rsidRDefault="003D1C8C">
              <w:pPr>
                <w:pStyle w:val="a3"/>
                <w:jc w:val="center"/>
                <w:rPr>
                  <w:rFonts w:ascii="Tahoma" w:hAnsi="Tahoma"/>
                  <w:noProof w:val="0"/>
                  <w:color w:val="000080"/>
                  <w:sz w:val="32"/>
                  <w:szCs w:val="32"/>
                  <w:rtl/>
                </w:rPr>
              </w:pPr>
              <w:r w:rsidRPr="00FA4EAF">
                <w:rPr>
                  <w:rFonts w:ascii="Tahoma" w:hAnsi="Tahoma"/>
                  <w:b/>
                  <w:bCs/>
                  <w:color w:val="000080"/>
                  <w:sz w:val="32"/>
                  <w:szCs w:val="32"/>
                  <w:rtl/>
                </w:rPr>
                <w:t>בית משפט השלום בתל אביב -יפו</w:t>
              </w:r>
            </w:p>
            <w:p w:rsidRPr="001C5573" w:rsidR="00694556" w:rsidP="001C5573" w:rsidRDefault="00694556">
              <w:pPr>
                <w:tabs>
                  <w:tab w:val="left" w:pos="1421"/>
                </w:tabs>
                <w:rPr>
                  <w:rtl/>
                </w:rPr>
              </w:pPr>
            </w:p>
          </w:tc>
        </w:sdtContent>
      </w:sdt>
    </w:tr>
    <w:tr w:rsidRPr="00FA4EAF" w:rsidR="00694556" w:rsidTr="001C5573">
      <w:trPr>
        <w:trHeight w:val="337"/>
        <w:jc w:val="center"/>
      </w:trPr>
      <w:tc>
        <w:tcPr>
          <w:tcW w:w="8505" w:type="dxa"/>
        </w:tcPr>
        <w:p w:rsidRPr="00FA4EAF" w:rsidR="007D45E3" w:rsidP="00314311" w:rsidRDefault="00E543B0">
          <w:pPr>
            <w:rPr>
              <w:b/>
              <w:bCs/>
              <w:noProof w:val="0"/>
              <w:sz w:val="26"/>
              <w:szCs w:val="26"/>
              <w:rtl/>
            </w:rPr>
          </w:pPr>
          <w:sdt>
            <w:sdtPr>
              <w:rPr>
                <w:sz w:val="26"/>
                <w:szCs w:val="26"/>
                <w:rtl/>
              </w:rPr>
              <w:alias w:val="1170"/>
              <w:tag w:val="1170"/>
              <w:id w:val="1066377040"/>
              <w:text w:multiLine="1"/>
            </w:sdtPr>
            <w:sdtEndPr/>
            <w:sdtContent>
              <w:r w:rsidR="0016615E">
                <w:rPr>
                  <w:b/>
                  <w:bCs/>
                  <w:noProof w:val="0"/>
                  <w:sz w:val="26"/>
                  <w:szCs w:val="26"/>
                  <w:rtl/>
                </w:rPr>
                <w:t>תאד"מ</w:t>
              </w:r>
            </w:sdtContent>
          </w:sdt>
          <w:r w:rsidRPr="00FA4EAF" w:rsidR="00005C8B">
            <w:rPr>
              <w:b/>
              <w:bCs/>
              <w:noProof w:val="0"/>
              <w:sz w:val="26"/>
              <w:szCs w:val="26"/>
              <w:rtl/>
            </w:rPr>
            <w:t xml:space="preserve"> </w:t>
          </w:r>
          <w:sdt>
            <w:sdtPr>
              <w:rPr>
                <w:sz w:val="26"/>
                <w:szCs w:val="26"/>
                <w:rtl/>
              </w:rPr>
              <w:alias w:val="1171"/>
              <w:tag w:val="1171"/>
              <w:id w:val="257034231"/>
              <w:text w:multiLine="1"/>
            </w:sdtPr>
            <w:sdtEndPr/>
            <w:sdtContent>
              <w:r w:rsidR="0016615E">
                <w:rPr>
                  <w:b/>
                  <w:bCs/>
                  <w:noProof w:val="0"/>
                  <w:sz w:val="26"/>
                  <w:szCs w:val="26"/>
                  <w:rtl/>
                </w:rPr>
                <w:t>56575-05-25</w:t>
              </w:r>
            </w:sdtContent>
          </w:sdt>
          <w:r w:rsidRPr="00FA4EAF" w:rsidR="00005C8B">
            <w:rPr>
              <w:b/>
              <w:bCs/>
              <w:noProof w:val="0"/>
              <w:sz w:val="26"/>
              <w:szCs w:val="26"/>
              <w:rtl/>
            </w:rPr>
            <w:t xml:space="preserve"> </w:t>
          </w:r>
          <w:sdt>
            <w:sdtPr>
              <w:rPr>
                <w:sz w:val="26"/>
                <w:szCs w:val="26"/>
                <w:rtl/>
              </w:rPr>
              <w:alias w:val="1172"/>
              <w:tag w:val="1172"/>
              <w:id w:val="-595170033"/>
              <w:text w:multiLine="1"/>
            </w:sdtPr>
            <w:sdtEndPr/>
            <w:sdtContent>
              <w:r w:rsidR="0016615E">
                <w:rPr>
                  <w:b/>
                  <w:bCs/>
                  <w:noProof w:val="0"/>
                  <w:sz w:val="26"/>
                  <w:szCs w:val="26"/>
                  <w:rtl/>
                </w:rPr>
                <w:t>קוטאי נ' אהרוני</w:t>
              </w:r>
            </w:sdtContent>
          </w:sdt>
        </w:p>
        <w:p w:rsidRPr="00FA4EAF" w:rsidR="008D10B2" w:rsidP="009B4939" w:rsidRDefault="007D45E3">
          <w:pPr>
            <w:rPr>
              <w:sz w:val="26"/>
              <w:szCs w:val="26"/>
              <w:rtl/>
            </w:rPr>
          </w:pPr>
          <w:r w:rsidRPr="00FA4EAF">
            <w:rPr>
              <w:rFonts w:hint="cs"/>
              <w:sz w:val="26"/>
              <w:szCs w:val="26"/>
              <w:rtl/>
            </w:rPr>
            <w:t xml:space="preserve">                                                                  </w:t>
          </w:r>
          <w:r w:rsidRPr="00FA4EAF">
            <w:rPr>
              <w:sz w:val="26"/>
              <w:szCs w:val="26"/>
              <w:rtl/>
            </w:rPr>
            <w:t xml:space="preserve"> </w:t>
          </w:r>
          <w:r w:rsidRPr="00FA4EAF" w:rsidR="001173C6">
            <w:rPr>
              <w:sz w:val="26"/>
              <w:szCs w:val="26"/>
              <w:rtl/>
            </w:rPr>
            <w:t xml:space="preserve"> </w:t>
          </w:r>
        </w:p>
      </w:tc>
    </w:tr>
  </w:tbl>
  <w:p w:rsidRPr="00FA4EAF" w:rsidR="00694556" w:rsidRDefault="00694556">
    <w:pPr>
      <w:pStyle w:val="a3"/>
      <w:rPr>
        <w:noProof w:val="0"/>
        <w:sz w:val="26"/>
        <w:szCs w:val="26"/>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3B0" w:rsidRDefault="00E543B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56014E"/>
    <w:multiLevelType w:val="hybridMultilevel"/>
    <w:tmpl w:val="C75A75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2630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556"/>
    <w:rsid w:val="00000062"/>
    <w:rsid w:val="0000226B"/>
    <w:rsid w:val="00005C8B"/>
    <w:rsid w:val="0001404F"/>
    <w:rsid w:val="00040D07"/>
    <w:rsid w:val="000419B6"/>
    <w:rsid w:val="000529D2"/>
    <w:rsid w:val="000564AB"/>
    <w:rsid w:val="00064FBD"/>
    <w:rsid w:val="00082AB2"/>
    <w:rsid w:val="000906FE"/>
    <w:rsid w:val="00096AF7"/>
    <w:rsid w:val="000B344B"/>
    <w:rsid w:val="000C3B0F"/>
    <w:rsid w:val="000C3B60"/>
    <w:rsid w:val="000E0DD2"/>
    <w:rsid w:val="000E3AF1"/>
    <w:rsid w:val="000F0BC8"/>
    <w:rsid w:val="000F0DD6"/>
    <w:rsid w:val="00107E6D"/>
    <w:rsid w:val="0011194C"/>
    <w:rsid w:val="0011424C"/>
    <w:rsid w:val="001173C6"/>
    <w:rsid w:val="001367BC"/>
    <w:rsid w:val="0014384E"/>
    <w:rsid w:val="00144D2A"/>
    <w:rsid w:val="0014653E"/>
    <w:rsid w:val="0016615E"/>
    <w:rsid w:val="00180519"/>
    <w:rsid w:val="00191C82"/>
    <w:rsid w:val="001A2D36"/>
    <w:rsid w:val="001C3FD7"/>
    <w:rsid w:val="001C4003"/>
    <w:rsid w:val="001C5573"/>
    <w:rsid w:val="001D3441"/>
    <w:rsid w:val="001D4DBF"/>
    <w:rsid w:val="001E75CA"/>
    <w:rsid w:val="002265FF"/>
    <w:rsid w:val="00271B56"/>
    <w:rsid w:val="00291593"/>
    <w:rsid w:val="002C344E"/>
    <w:rsid w:val="002D2705"/>
    <w:rsid w:val="002D7668"/>
    <w:rsid w:val="002E75E9"/>
    <w:rsid w:val="002F75E2"/>
    <w:rsid w:val="00307A6A"/>
    <w:rsid w:val="00307C40"/>
    <w:rsid w:val="00314311"/>
    <w:rsid w:val="00320433"/>
    <w:rsid w:val="003230C7"/>
    <w:rsid w:val="00327E50"/>
    <w:rsid w:val="0033597A"/>
    <w:rsid w:val="00343D89"/>
    <w:rsid w:val="00354C8B"/>
    <w:rsid w:val="00362612"/>
    <w:rsid w:val="0036743F"/>
    <w:rsid w:val="003715DD"/>
    <w:rsid w:val="003763AB"/>
    <w:rsid w:val="003823E0"/>
    <w:rsid w:val="00386327"/>
    <w:rsid w:val="003A2359"/>
    <w:rsid w:val="003A4521"/>
    <w:rsid w:val="003A5B6D"/>
    <w:rsid w:val="003D1C8C"/>
    <w:rsid w:val="0040096C"/>
    <w:rsid w:val="00414F1F"/>
    <w:rsid w:val="0043125D"/>
    <w:rsid w:val="0043502B"/>
    <w:rsid w:val="004443AC"/>
    <w:rsid w:val="00451E28"/>
    <w:rsid w:val="00462C62"/>
    <w:rsid w:val="00465D36"/>
    <w:rsid w:val="004C17EE"/>
    <w:rsid w:val="004C4BDF"/>
    <w:rsid w:val="004C7358"/>
    <w:rsid w:val="004D1187"/>
    <w:rsid w:val="004D1998"/>
    <w:rsid w:val="004D3AA0"/>
    <w:rsid w:val="004E1987"/>
    <w:rsid w:val="004E2E15"/>
    <w:rsid w:val="004E6E3C"/>
    <w:rsid w:val="00515093"/>
    <w:rsid w:val="00520898"/>
    <w:rsid w:val="00523621"/>
    <w:rsid w:val="00524986"/>
    <w:rsid w:val="005268F6"/>
    <w:rsid w:val="00534284"/>
    <w:rsid w:val="00540E67"/>
    <w:rsid w:val="0054494A"/>
    <w:rsid w:val="00547DB7"/>
    <w:rsid w:val="005F4F09"/>
    <w:rsid w:val="0061431B"/>
    <w:rsid w:val="00617CEE"/>
    <w:rsid w:val="00622BAA"/>
    <w:rsid w:val="006306CF"/>
    <w:rsid w:val="00640603"/>
    <w:rsid w:val="00644E9A"/>
    <w:rsid w:val="00671BD5"/>
    <w:rsid w:val="006805C1"/>
    <w:rsid w:val="006841E0"/>
    <w:rsid w:val="00686C21"/>
    <w:rsid w:val="006931C1"/>
    <w:rsid w:val="00694556"/>
    <w:rsid w:val="006C30C5"/>
    <w:rsid w:val="006D3B31"/>
    <w:rsid w:val="006E0D96"/>
    <w:rsid w:val="006E1A53"/>
    <w:rsid w:val="006F56E6"/>
    <w:rsid w:val="00704EDA"/>
    <w:rsid w:val="00721122"/>
    <w:rsid w:val="00744B1C"/>
    <w:rsid w:val="00753019"/>
    <w:rsid w:val="00754801"/>
    <w:rsid w:val="00795365"/>
    <w:rsid w:val="007A351D"/>
    <w:rsid w:val="007A52B3"/>
    <w:rsid w:val="007B0ADB"/>
    <w:rsid w:val="007B7765"/>
    <w:rsid w:val="007C5BDD"/>
    <w:rsid w:val="007D45E3"/>
    <w:rsid w:val="007E6115"/>
    <w:rsid w:val="007F09CE"/>
    <w:rsid w:val="007F4609"/>
    <w:rsid w:val="008176A1"/>
    <w:rsid w:val="00820005"/>
    <w:rsid w:val="00844318"/>
    <w:rsid w:val="00863F5D"/>
    <w:rsid w:val="00870890"/>
    <w:rsid w:val="00873602"/>
    <w:rsid w:val="00875D12"/>
    <w:rsid w:val="008800CD"/>
    <w:rsid w:val="0088479D"/>
    <w:rsid w:val="008924AB"/>
    <w:rsid w:val="00896889"/>
    <w:rsid w:val="00897713"/>
    <w:rsid w:val="008C5714"/>
    <w:rsid w:val="008C7A1D"/>
    <w:rsid w:val="008D10B2"/>
    <w:rsid w:val="008E3E78"/>
    <w:rsid w:val="00903896"/>
    <w:rsid w:val="00906F3D"/>
    <w:rsid w:val="00912A5E"/>
    <w:rsid w:val="0094424E"/>
    <w:rsid w:val="00954A70"/>
    <w:rsid w:val="00955642"/>
    <w:rsid w:val="009622DF"/>
    <w:rsid w:val="00967DFF"/>
    <w:rsid w:val="00994341"/>
    <w:rsid w:val="009B4939"/>
    <w:rsid w:val="009D1A48"/>
    <w:rsid w:val="009E1CE7"/>
    <w:rsid w:val="009E4EA5"/>
    <w:rsid w:val="009E5DED"/>
    <w:rsid w:val="009F164B"/>
    <w:rsid w:val="009F323C"/>
    <w:rsid w:val="00A03128"/>
    <w:rsid w:val="00A3392B"/>
    <w:rsid w:val="00A413A4"/>
    <w:rsid w:val="00A94B64"/>
    <w:rsid w:val="00AA3229"/>
    <w:rsid w:val="00AA5158"/>
    <w:rsid w:val="00AA7596"/>
    <w:rsid w:val="00AB5E52"/>
    <w:rsid w:val="00AC3B02"/>
    <w:rsid w:val="00AC3B7B"/>
    <w:rsid w:val="00AC5209"/>
    <w:rsid w:val="00AD00A6"/>
    <w:rsid w:val="00AD4766"/>
    <w:rsid w:val="00AE211A"/>
    <w:rsid w:val="00AE729E"/>
    <w:rsid w:val="00AE7752"/>
    <w:rsid w:val="00AF65FD"/>
    <w:rsid w:val="00AF7FDA"/>
    <w:rsid w:val="00B02C76"/>
    <w:rsid w:val="00B244A6"/>
    <w:rsid w:val="00B37100"/>
    <w:rsid w:val="00B5356E"/>
    <w:rsid w:val="00B809AD"/>
    <w:rsid w:val="00B80CBD"/>
    <w:rsid w:val="00B86096"/>
    <w:rsid w:val="00B95A71"/>
    <w:rsid w:val="00B964D9"/>
    <w:rsid w:val="00BA0A7C"/>
    <w:rsid w:val="00BA517C"/>
    <w:rsid w:val="00BB3D05"/>
    <w:rsid w:val="00BB52D6"/>
    <w:rsid w:val="00BB73BE"/>
    <w:rsid w:val="00BC2D89"/>
    <w:rsid w:val="00BD6531"/>
    <w:rsid w:val="00BE05B2"/>
    <w:rsid w:val="00BF1908"/>
    <w:rsid w:val="00BF7F3B"/>
    <w:rsid w:val="00C22D93"/>
    <w:rsid w:val="00C31120"/>
    <w:rsid w:val="00C34482"/>
    <w:rsid w:val="00C43648"/>
    <w:rsid w:val="00C50A9F"/>
    <w:rsid w:val="00C53EB8"/>
    <w:rsid w:val="00C642FA"/>
    <w:rsid w:val="00C65565"/>
    <w:rsid w:val="00CC7622"/>
    <w:rsid w:val="00CD608F"/>
    <w:rsid w:val="00CF3111"/>
    <w:rsid w:val="00D27982"/>
    <w:rsid w:val="00D33B86"/>
    <w:rsid w:val="00D53924"/>
    <w:rsid w:val="00D54B61"/>
    <w:rsid w:val="00D55D0C"/>
    <w:rsid w:val="00D627CF"/>
    <w:rsid w:val="00D74378"/>
    <w:rsid w:val="00D96D8C"/>
    <w:rsid w:val="00DA6649"/>
    <w:rsid w:val="00DC1259"/>
    <w:rsid w:val="00DC1BD2"/>
    <w:rsid w:val="00DC2571"/>
    <w:rsid w:val="00DC487C"/>
    <w:rsid w:val="00DE6BF6"/>
    <w:rsid w:val="00E0578E"/>
    <w:rsid w:val="00E1068A"/>
    <w:rsid w:val="00E25884"/>
    <w:rsid w:val="00E25B55"/>
    <w:rsid w:val="00E31C2B"/>
    <w:rsid w:val="00E37181"/>
    <w:rsid w:val="00E5426A"/>
    <w:rsid w:val="00E543B0"/>
    <w:rsid w:val="00E54642"/>
    <w:rsid w:val="00E80CBE"/>
    <w:rsid w:val="00E87DA0"/>
    <w:rsid w:val="00E962E3"/>
    <w:rsid w:val="00EB23B9"/>
    <w:rsid w:val="00EB6C79"/>
    <w:rsid w:val="00EC37E9"/>
    <w:rsid w:val="00F06995"/>
    <w:rsid w:val="00F13623"/>
    <w:rsid w:val="00F44D1D"/>
    <w:rsid w:val="00F84B6D"/>
    <w:rsid w:val="00FA4EAF"/>
    <w:rsid w:val="00FA5FDA"/>
    <w:rsid w:val="00FB6AB3"/>
    <w:rsid w:val="00FD1419"/>
    <w:rsid w:val="00FD79E4"/>
    <w:rsid w:val="00FE2894"/>
    <w:rsid w:val="00FF6C6D"/>
  </w:rsids>
  <m:mathPr>
    <m:mathFont m:val="Cambria Math"/>
    <m:brkBin m:val="before"/>
    <m:brkBinSub m:val="--"/>
    <m:smallFrac m:val="0"/>
    <m:dispDef/>
    <m:lMargin m:val="0"/>
    <m:rMargin m:val="0"/>
    <m:defJc m:val="centerGroup"/>
    <m:wrapIndent m:val="1440"/>
    <m:intLim m:val="subSup"/>
    <m:naryLim m:val="undOvr"/>
  </m:mathPr>
  <w:attachedSchema w:val="http://schemas.microsoft.com/InformationBridge/2004"/>
  <w:attachedSchema w:val="NGCS.MergeFields.Schema"/>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26306"/>
    <o:shapelayout v:ext="edit">
      <o:idmap v:ext="edit" data="1"/>
    </o:shapelayout>
  </w:shapeDefaults>
  <w:decimalSymbol w:val="."/>
  <w:listSeparator w:val=","/>
  <w14:docId w14:val="62BC0F94"/>
  <w15:docId w15:val="{C68256EE-47AD-44DB-8A05-998AFD0ED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4423"/>
    <w:pPr>
      <w:bidi/>
    </w:pPr>
    <w:rPr>
      <w:rFonts w:cs="David"/>
      <w:noProof/>
      <w:sz w:val="24"/>
      <w:szCs w:val="24"/>
    </w:rPr>
  </w:style>
  <w:style w:type="paragraph" w:styleId="4">
    <w:name w:val="heading 4"/>
    <w:basedOn w:val="a"/>
    <w:next w:val="a"/>
    <w:qFormat/>
    <w:rsid w:val="00C64423"/>
    <w:pPr>
      <w:keepNext/>
      <w:ind w:left="5760" w:firstLine="720"/>
      <w:outlineLvl w:val="3"/>
    </w:pPr>
    <w:rPr>
      <w:rFonts w:cs="Narkisim"/>
      <w:b/>
      <w:bCs/>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64423"/>
    <w:pPr>
      <w:tabs>
        <w:tab w:val="center" w:pos="4153"/>
        <w:tab w:val="right" w:pos="8306"/>
      </w:tabs>
    </w:pPr>
  </w:style>
  <w:style w:type="paragraph" w:styleId="a4">
    <w:name w:val="footer"/>
    <w:basedOn w:val="a"/>
    <w:rsid w:val="00C64423"/>
    <w:pPr>
      <w:tabs>
        <w:tab w:val="center" w:pos="4153"/>
        <w:tab w:val="right" w:pos="8306"/>
      </w:tabs>
    </w:pPr>
  </w:style>
  <w:style w:type="paragraph" w:customStyle="1" w:styleId="a5">
    <w:name w:val="סעיפים"/>
    <w:basedOn w:val="a"/>
    <w:rsid w:val="00C64423"/>
    <w:pPr>
      <w:tabs>
        <w:tab w:val="left" w:pos="567"/>
        <w:tab w:val="left" w:pos="1134"/>
        <w:tab w:val="left" w:pos="1701"/>
        <w:tab w:val="left" w:pos="2268"/>
        <w:tab w:val="left" w:pos="2835"/>
        <w:tab w:val="left" w:pos="3402"/>
        <w:tab w:val="left" w:pos="3969"/>
      </w:tabs>
      <w:spacing w:line="360" w:lineRule="auto"/>
      <w:jc w:val="both"/>
    </w:pPr>
    <w:rPr>
      <w:noProof w:val="0"/>
    </w:rPr>
  </w:style>
  <w:style w:type="paragraph" w:styleId="a6">
    <w:name w:val="annotation text"/>
    <w:basedOn w:val="a"/>
    <w:semiHidden/>
    <w:rsid w:val="00C64423"/>
    <w:rPr>
      <w:rFonts w:cs="Times New Roman"/>
      <w:noProof w:val="0"/>
    </w:rPr>
  </w:style>
  <w:style w:type="character" w:styleId="a7">
    <w:name w:val="annotation reference"/>
    <w:basedOn w:val="a0"/>
    <w:semiHidden/>
    <w:rsid w:val="00C64423"/>
    <w:rPr>
      <w:sz w:val="16"/>
      <w:szCs w:val="16"/>
    </w:rPr>
  </w:style>
  <w:style w:type="paragraph" w:styleId="a8">
    <w:name w:val="Balloon Text"/>
    <w:basedOn w:val="a"/>
    <w:semiHidden/>
    <w:rsid w:val="00C64423"/>
    <w:rPr>
      <w:rFonts w:ascii="Tahoma" w:hAnsi="Tahoma" w:cs="Tahoma"/>
      <w:sz w:val="16"/>
      <w:szCs w:val="16"/>
    </w:rPr>
  </w:style>
  <w:style w:type="table" w:styleId="a9">
    <w:name w:val="Table Grid"/>
    <w:basedOn w:val="a1"/>
    <w:rsid w:val="00C6442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line number"/>
    <w:basedOn w:val="a0"/>
    <w:rsid w:val="00C64423"/>
  </w:style>
  <w:style w:type="character" w:styleId="ab">
    <w:name w:val="page number"/>
    <w:basedOn w:val="a0"/>
    <w:rsid w:val="00C64423"/>
  </w:style>
  <w:style w:type="table" w:customStyle="1" w:styleId="1">
    <w:name w:val="טבלת רשת1"/>
    <w:basedOn w:val="a1"/>
    <w:next w:val="a9"/>
    <w:rsid w:val="001C4003"/>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laceholder Text"/>
    <w:basedOn w:val="a0"/>
    <w:uiPriority w:val="99"/>
    <w:semiHidden/>
    <w:rsid w:val="003230C7"/>
    <w:rPr>
      <w:color w:val="808080"/>
    </w:rPr>
  </w:style>
  <w:style w:type="paragraph" w:styleId="ad">
    <w:name w:val="List Paragraph"/>
    <w:basedOn w:val="a"/>
    <w:uiPriority w:val="34"/>
    <w:qFormat/>
    <w:rsid w:val="00E543B0"/>
    <w:pPr>
      <w:spacing w:after="160" w:line="256" w:lineRule="auto"/>
      <w:ind w:left="720"/>
      <w:contextualSpacing/>
    </w:pPr>
    <w:rPr>
      <w:rFonts w:asciiTheme="minorHAnsi" w:eastAsiaTheme="minorHAnsi" w:hAnsiTheme="minorHAnsi" w:cstheme="minorBidi"/>
      <w:noProof w:val="0"/>
      <w:sz w:val="22"/>
      <w:szCs w:val="22"/>
    </w:rPr>
  </w:style>
  <w:style w:type="paragraph" w:customStyle="1" w:styleId="10">
    <w:name w:val="פיסקת רשימה1"/>
    <w:basedOn w:val="a"/>
    <w:qFormat/>
    <w:rsid w:val="00E543B0"/>
    <w:pPr>
      <w:spacing w:after="160" w:line="254" w:lineRule="auto"/>
      <w:ind w:left="720"/>
      <w:contextualSpacing/>
    </w:pPr>
    <w:rPr>
      <w:rFonts w:ascii="Calibri" w:eastAsia="Calibri" w:hAnsi="Calibri" w:cs="Arial"/>
      <w:noProof w:val="0"/>
      <w:sz w:val="22"/>
      <w:szCs w:val="22"/>
    </w:rPr>
  </w:style>
  <w:style w:type="paragraph" w:customStyle="1" w:styleId="2">
    <w:name w:val="פיסקת רשימה2"/>
    <w:basedOn w:val="a"/>
    <w:rsid w:val="00E543B0"/>
    <w:pPr>
      <w:spacing w:after="160" w:line="252" w:lineRule="auto"/>
      <w:ind w:left="720"/>
      <w:contextualSpacing/>
    </w:pPr>
    <w:rPr>
      <w:rFonts w:ascii="Calibri" w:eastAsia="Calibri" w:hAnsi="Calibri" w:cs="Arial"/>
      <w:noProof w:val="0"/>
      <w:sz w:val="22"/>
      <w:szCs w:val="22"/>
    </w:rPr>
  </w:style>
  <w:style w:type="paragraph" w:customStyle="1" w:styleId="3">
    <w:name w:val="פיסקת רשימה3"/>
    <w:basedOn w:val="a"/>
    <w:qFormat/>
    <w:rsid w:val="00E543B0"/>
    <w:pPr>
      <w:spacing w:after="160" w:line="254" w:lineRule="auto"/>
      <w:ind w:left="720"/>
      <w:contextualSpacing/>
    </w:pPr>
    <w:rPr>
      <w:rFonts w:ascii="Calibri" w:eastAsia="Calibri" w:hAnsi="Calibri" w:cs="Arial"/>
      <w:noProof w:val="0"/>
      <w:sz w:val="22"/>
      <w:szCs w:val="22"/>
    </w:rPr>
  </w:style>
  <w:style w:type="character" w:styleId="Hyperlink">
    <w:name w:val="Hyperlink"/>
    <w:basedOn w:val="a0"/>
    <w:uiPriority w:val="99"/>
    <w:semiHidden/>
    <w:unhideWhenUsed/>
    <w:rsid w:val="00E543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086508">
      <w:bodyDiv w:val="1"/>
      <w:marLeft w:val="0"/>
      <w:marRight w:val="0"/>
      <w:marTop w:val="0"/>
      <w:marBottom w:val="0"/>
      <w:divBdr>
        <w:top w:val="none" w:sz="0" w:space="0" w:color="auto"/>
        <w:left w:val="none" w:sz="0" w:space="0" w:color="auto"/>
        <w:bottom w:val="none" w:sz="0" w:space="0" w:color="auto"/>
        <w:right w:val="none" w:sz="0" w:space="0" w:color="auto"/>
      </w:divBdr>
    </w:div>
    <w:div w:id="411632813">
      <w:bodyDiv w:val="1"/>
      <w:marLeft w:val="0"/>
      <w:marRight w:val="0"/>
      <w:marTop w:val="0"/>
      <w:marBottom w:val="0"/>
      <w:divBdr>
        <w:top w:val="none" w:sz="0" w:space="0" w:color="auto"/>
        <w:left w:val="none" w:sz="0" w:space="0" w:color="auto"/>
        <w:bottom w:val="none" w:sz="0" w:space="0" w:color="auto"/>
        <w:right w:val="none" w:sz="0" w:space="0" w:color="auto"/>
      </w:divBdr>
    </w:div>
    <w:div w:id="997347098">
      <w:bodyDiv w:val="1"/>
      <w:marLeft w:val="0"/>
      <w:marRight w:val="0"/>
      <w:marTop w:val="0"/>
      <w:marBottom w:val="0"/>
      <w:divBdr>
        <w:top w:val="none" w:sz="0" w:space="0" w:color="auto"/>
        <w:left w:val="none" w:sz="0" w:space="0" w:color="auto"/>
        <w:bottom w:val="none" w:sz="0" w:space="0" w:color="auto"/>
        <w:right w:val="none" w:sz="0" w:space="0" w:color="auto"/>
      </w:divBdr>
    </w:div>
    <w:div w:id="1099062181">
      <w:bodyDiv w:val="1"/>
      <w:marLeft w:val="0"/>
      <w:marRight w:val="0"/>
      <w:marTop w:val="0"/>
      <w:marBottom w:val="0"/>
      <w:divBdr>
        <w:top w:val="none" w:sz="0" w:space="0" w:color="auto"/>
        <w:left w:val="none" w:sz="0" w:space="0" w:color="auto"/>
        <w:bottom w:val="none" w:sz="0" w:space="0" w:color="auto"/>
        <w:right w:val="none" w:sz="0" w:space="0" w:color="auto"/>
      </w:divBdr>
    </w:div>
    <w:div w:id="1130243305">
      <w:bodyDiv w:val="1"/>
      <w:marLeft w:val="0"/>
      <w:marRight w:val="0"/>
      <w:marTop w:val="0"/>
      <w:marBottom w:val="0"/>
      <w:divBdr>
        <w:top w:val="none" w:sz="0" w:space="0" w:color="auto"/>
        <w:left w:val="none" w:sz="0" w:space="0" w:color="auto"/>
        <w:bottom w:val="none" w:sz="0" w:space="0" w:color="auto"/>
        <w:right w:val="none" w:sz="0" w:space="0" w:color="auto"/>
      </w:divBdr>
    </w:div>
    <w:div w:id="1235774367">
      <w:bodyDiv w:val="1"/>
      <w:marLeft w:val="0"/>
      <w:marRight w:val="0"/>
      <w:marTop w:val="0"/>
      <w:marBottom w:val="0"/>
      <w:divBdr>
        <w:top w:val="none" w:sz="0" w:space="0" w:color="auto"/>
        <w:left w:val="none" w:sz="0" w:space="0" w:color="auto"/>
        <w:bottom w:val="none" w:sz="0" w:space="0" w:color="auto"/>
        <w:right w:val="none" w:sz="0" w:space="0" w:color="auto"/>
      </w:divBdr>
    </w:div>
    <w:div w:id="1253708199">
      <w:bodyDiv w:val="1"/>
      <w:marLeft w:val="0"/>
      <w:marRight w:val="0"/>
      <w:marTop w:val="0"/>
      <w:marBottom w:val="0"/>
      <w:divBdr>
        <w:top w:val="none" w:sz="0" w:space="0" w:color="auto"/>
        <w:left w:val="none" w:sz="0" w:space="0" w:color="auto"/>
        <w:bottom w:val="none" w:sz="0" w:space="0" w:color="auto"/>
        <w:right w:val="none" w:sz="0" w:space="0" w:color="auto"/>
      </w:divBdr>
    </w:div>
    <w:div w:id="1307122835">
      <w:bodyDiv w:val="1"/>
      <w:marLeft w:val="0"/>
      <w:marRight w:val="0"/>
      <w:marTop w:val="0"/>
      <w:marBottom w:val="0"/>
      <w:divBdr>
        <w:top w:val="none" w:sz="0" w:space="0" w:color="auto"/>
        <w:left w:val="none" w:sz="0" w:space="0" w:color="auto"/>
        <w:bottom w:val="none" w:sz="0" w:space="0" w:color="auto"/>
        <w:right w:val="none" w:sz="0" w:space="0" w:color="auto"/>
      </w:divBdr>
    </w:div>
    <w:div w:id="1432820806">
      <w:bodyDiv w:val="1"/>
      <w:marLeft w:val="0"/>
      <w:marRight w:val="0"/>
      <w:marTop w:val="0"/>
      <w:marBottom w:val="0"/>
      <w:divBdr>
        <w:top w:val="none" w:sz="0" w:space="0" w:color="auto"/>
        <w:left w:val="none" w:sz="0" w:space="0" w:color="auto"/>
        <w:bottom w:val="none" w:sz="0" w:space="0" w:color="auto"/>
        <w:right w:val="none" w:sz="0" w:space="0" w:color="auto"/>
      </w:divBdr>
    </w:div>
    <w:div w:id="1509952097">
      <w:bodyDiv w:val="1"/>
      <w:marLeft w:val="0"/>
      <w:marRight w:val="0"/>
      <w:marTop w:val="0"/>
      <w:marBottom w:val="0"/>
      <w:divBdr>
        <w:top w:val="none" w:sz="0" w:space="0" w:color="auto"/>
        <w:left w:val="none" w:sz="0" w:space="0" w:color="auto"/>
        <w:bottom w:val="none" w:sz="0" w:space="0" w:color="auto"/>
        <w:right w:val="none" w:sz="0" w:space="0" w:color="auto"/>
      </w:divBdr>
    </w:div>
    <w:div w:id="1616671853">
      <w:bodyDiv w:val="1"/>
      <w:marLeft w:val="0"/>
      <w:marRight w:val="0"/>
      <w:marTop w:val="0"/>
      <w:marBottom w:val="0"/>
      <w:divBdr>
        <w:top w:val="none" w:sz="0" w:space="0" w:color="auto"/>
        <w:left w:val="none" w:sz="0" w:space="0" w:color="auto"/>
        <w:bottom w:val="none" w:sz="0" w:space="0" w:color="auto"/>
        <w:right w:val="none" w:sz="0" w:space="0" w:color="auto"/>
      </w:divBdr>
    </w:div>
    <w:div w:id="1696467333">
      <w:bodyDiv w:val="1"/>
      <w:marLeft w:val="0"/>
      <w:marRight w:val="0"/>
      <w:marTop w:val="0"/>
      <w:marBottom w:val="0"/>
      <w:divBdr>
        <w:top w:val="none" w:sz="0" w:space="0" w:color="auto"/>
        <w:left w:val="none" w:sz="0" w:space="0" w:color="auto"/>
        <w:bottom w:val="none" w:sz="0" w:space="0" w:color="auto"/>
        <w:right w:val="none" w:sz="0" w:space="0" w:color="auto"/>
      </w:divBdr>
    </w:div>
    <w:div w:id="1717392395">
      <w:bodyDiv w:val="1"/>
      <w:marLeft w:val="0"/>
      <w:marRight w:val="0"/>
      <w:marTop w:val="0"/>
      <w:marBottom w:val="0"/>
      <w:divBdr>
        <w:top w:val="none" w:sz="0" w:space="0" w:color="auto"/>
        <w:left w:val="none" w:sz="0" w:space="0" w:color="auto"/>
        <w:bottom w:val="none" w:sz="0" w:space="0" w:color="auto"/>
        <w:right w:val="none" w:sz="0" w:space="0" w:color="auto"/>
      </w:divBdr>
    </w:div>
    <w:div w:id="1739401334">
      <w:bodyDiv w:val="1"/>
      <w:marLeft w:val="0"/>
      <w:marRight w:val="0"/>
      <w:marTop w:val="0"/>
      <w:marBottom w:val="0"/>
      <w:divBdr>
        <w:top w:val="none" w:sz="0" w:space="0" w:color="auto"/>
        <w:left w:val="none" w:sz="0" w:space="0" w:color="auto"/>
        <w:bottom w:val="none" w:sz="0" w:space="0" w:color="auto"/>
        <w:right w:val="none" w:sz="0" w:space="0" w:color="auto"/>
      </w:divBdr>
    </w:div>
    <w:div w:id="1761221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www.nevo.co.il/safrut/bookgroup/3909"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 Type="http://schemas.openxmlformats.org/officeDocument/2006/relationships/image" Target="/media/image.jpg" Id="Rde94322d2a1949bf"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60D38E05664FF79D4EFF282EF8EC99"/>
        <w:category>
          <w:name w:val="כללי"/>
          <w:gallery w:val="placeholder"/>
        </w:category>
        <w:types>
          <w:type w:val="bbPlcHdr"/>
        </w:types>
        <w:behaviors>
          <w:behavior w:val="content"/>
        </w:behaviors>
        <w:guid w:val="{FD09B0DC-A014-4BFE-8938-8AD9210BC601}"/>
      </w:docPartPr>
      <w:docPartBody>
        <w:p w:rsidR="00345C9D" w:rsidRDefault="00837871" w:rsidP="00837871">
          <w:pPr>
            <w:pStyle w:val="E460D38E05664FF79D4EFF282EF8EC9938"/>
          </w:pPr>
          <w:r>
            <w:rPr>
              <w:rFonts w:hint="cs"/>
              <w:rtl/>
            </w:rPr>
            <w:t xml:space="preserve">     </w:t>
          </w:r>
        </w:p>
      </w:docPartBody>
    </w:docPart>
    <w:docPart>
      <w:docPartPr>
        <w:name w:val="6E9B64DE82404F9B827427D9CBC581D6"/>
        <w:category>
          <w:name w:val="כללי"/>
          <w:gallery w:val="placeholder"/>
        </w:category>
        <w:types>
          <w:type w:val="bbPlcHdr"/>
        </w:types>
        <w:behaviors>
          <w:behavior w:val="content"/>
        </w:behaviors>
        <w:guid w:val="{78BA44C6-B314-46D7-8ED1-BF436121D046}"/>
      </w:docPartPr>
      <w:docPartBody>
        <w:p w:rsidR="001437D3" w:rsidRDefault="00837871" w:rsidP="00837871">
          <w:pPr>
            <w:pStyle w:val="6E9B64DE82404F9B827427D9CBC581D62"/>
          </w:pPr>
          <w:r>
            <w:rPr>
              <w:rFonts w:ascii="Arial" w:hAnsi="Arial"/>
              <w:b/>
              <w:bCs/>
              <w:noProof w:val="0"/>
              <w:sz w:val="26"/>
              <w:szCs w:val="26"/>
              <w:rtl/>
            </w:rPr>
            <w:t>שם צד א' ללא שם של חסוי</w:t>
          </w:r>
        </w:p>
      </w:docPartBody>
    </w:docPart>
    <w:docPart>
      <w:docPartPr>
        <w:name w:val="4975FDB7C9824906A8EDDDC584D8F333"/>
        <w:category>
          <w:name w:val="כללי"/>
          <w:gallery w:val="placeholder"/>
        </w:category>
        <w:types>
          <w:type w:val="bbPlcHdr"/>
        </w:types>
        <w:behaviors>
          <w:behavior w:val="content"/>
        </w:behaviors>
        <w:guid w:val="{28E5AB39-0725-456D-B84C-21AB7B1A00B9}"/>
      </w:docPartPr>
      <w:docPartBody>
        <w:p w:rsidR="001437D3" w:rsidRDefault="00837871" w:rsidP="00837871">
          <w:pPr>
            <w:pStyle w:val="4975FDB7C9824906A8EDDDC584D8F3332"/>
          </w:pPr>
          <w:r>
            <w:rPr>
              <w:rFonts w:ascii="Arial" w:hAnsi="Arial"/>
              <w:b/>
              <w:bCs/>
              <w:noProof w:val="0"/>
              <w:sz w:val="26"/>
              <w:szCs w:val="26"/>
              <w:rtl/>
            </w:rPr>
            <w:t>שם צד ב' ללא שם של חסוי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8CA"/>
    <w:rsid w:val="00010976"/>
    <w:rsid w:val="000A4ACE"/>
    <w:rsid w:val="001437D3"/>
    <w:rsid w:val="001E622F"/>
    <w:rsid w:val="00243834"/>
    <w:rsid w:val="002D02C4"/>
    <w:rsid w:val="002E734C"/>
    <w:rsid w:val="00334638"/>
    <w:rsid w:val="00345C9D"/>
    <w:rsid w:val="003D74C1"/>
    <w:rsid w:val="003E1A82"/>
    <w:rsid w:val="0048651F"/>
    <w:rsid w:val="00556D67"/>
    <w:rsid w:val="005F1C8D"/>
    <w:rsid w:val="00793995"/>
    <w:rsid w:val="007C6F98"/>
    <w:rsid w:val="007E254A"/>
    <w:rsid w:val="00837871"/>
    <w:rsid w:val="008B4366"/>
    <w:rsid w:val="009133C7"/>
    <w:rsid w:val="009178E4"/>
    <w:rsid w:val="009234CA"/>
    <w:rsid w:val="00961B27"/>
    <w:rsid w:val="009D04C0"/>
    <w:rsid w:val="009E240F"/>
    <w:rsid w:val="00AA7CE3"/>
    <w:rsid w:val="00AE1281"/>
    <w:rsid w:val="00B91FA3"/>
    <w:rsid w:val="00C4535D"/>
    <w:rsid w:val="00C96C06"/>
    <w:rsid w:val="00E31BF6"/>
    <w:rsid w:val="00E81DB1"/>
    <w:rsid w:val="00EB2309"/>
    <w:rsid w:val="00F04DC1"/>
    <w:rsid w:val="00F4674E"/>
    <w:rsid w:val="00F678C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37871"/>
    <w:rPr>
      <w:color w:val="808080"/>
    </w:rPr>
  </w:style>
  <w:style w:type="paragraph" w:customStyle="1" w:styleId="3266F4EFF61346678E872C8DE3DE67FF">
    <w:name w:val="3266F4EFF61346678E872C8DE3DE67FF"/>
    <w:rsid w:val="00E81DB1"/>
    <w:pPr>
      <w:tabs>
        <w:tab w:val="center" w:pos="4153"/>
        <w:tab w:val="right" w:pos="8306"/>
      </w:tabs>
      <w:bidi/>
      <w:spacing w:after="0" w:line="240" w:lineRule="auto"/>
    </w:pPr>
    <w:rPr>
      <w:rFonts w:ascii="Times New Roman" w:eastAsia="Times New Roman" w:hAnsi="Times New Roman" w:cs="David"/>
      <w:noProof/>
      <w:sz w:val="24"/>
      <w:szCs w:val="24"/>
    </w:rPr>
  </w:style>
  <w:style w:type="paragraph" w:customStyle="1" w:styleId="79C68C3B2E1240EF81164AD0EB5BB65A">
    <w:name w:val="79C68C3B2E1240EF81164AD0EB5BB65A"/>
    <w:rsid w:val="009133C7"/>
    <w:pPr>
      <w:bidi/>
      <w:spacing w:after="0" w:line="240" w:lineRule="auto"/>
    </w:pPr>
    <w:rPr>
      <w:rFonts w:ascii="Times New Roman" w:eastAsia="Times New Roman" w:hAnsi="Times New Roman" w:cs="David"/>
      <w:noProof/>
      <w:sz w:val="24"/>
      <w:szCs w:val="24"/>
    </w:rPr>
  </w:style>
  <w:style w:type="paragraph" w:customStyle="1" w:styleId="6DDB045A1ED4458FB4FCDE8BAC3E62FB">
    <w:name w:val="6DDB045A1ED4458FB4FCDE8BAC3E62FB"/>
    <w:rsid w:val="0048651F"/>
    <w:pPr>
      <w:bidi/>
    </w:pPr>
  </w:style>
  <w:style w:type="paragraph" w:customStyle="1" w:styleId="15866E191BA44679A2A492AE971636DF">
    <w:name w:val="15866E191BA44679A2A492AE971636DF"/>
    <w:rsid w:val="0048651F"/>
    <w:pPr>
      <w:bidi/>
    </w:pPr>
  </w:style>
  <w:style w:type="paragraph" w:customStyle="1" w:styleId="C79BB8F1E1E9479C8BA98642BD7F886D">
    <w:name w:val="C79BB8F1E1E9479C8BA98642BD7F886D"/>
    <w:rsid w:val="002D02C4"/>
    <w:pPr>
      <w:bidi/>
      <w:spacing w:after="0" w:line="240" w:lineRule="auto"/>
    </w:pPr>
    <w:rPr>
      <w:rFonts w:ascii="Times New Roman" w:eastAsia="Times New Roman" w:hAnsi="Times New Roman" w:cs="David"/>
      <w:noProof/>
      <w:sz w:val="24"/>
      <w:szCs w:val="24"/>
    </w:rPr>
  </w:style>
  <w:style w:type="paragraph" w:customStyle="1" w:styleId="40BA799C25574A3E968931CFC6B1C9EB">
    <w:name w:val="40BA799C25574A3E968931CFC6B1C9EB"/>
    <w:rsid w:val="00556D67"/>
    <w:pPr>
      <w:bidi/>
      <w:spacing w:after="0" w:line="240" w:lineRule="auto"/>
    </w:pPr>
    <w:rPr>
      <w:rFonts w:ascii="Times New Roman" w:eastAsia="Times New Roman" w:hAnsi="Times New Roman" w:cs="David"/>
      <w:noProof/>
      <w:sz w:val="24"/>
      <w:szCs w:val="24"/>
    </w:rPr>
  </w:style>
  <w:style w:type="paragraph" w:customStyle="1" w:styleId="4E3A846B310946918D99CC7A6B690AAD">
    <w:name w:val="4E3A846B310946918D99CC7A6B690AAD"/>
    <w:rsid w:val="00793995"/>
    <w:pPr>
      <w:bidi/>
      <w:spacing w:after="0" w:line="240" w:lineRule="auto"/>
    </w:pPr>
    <w:rPr>
      <w:rFonts w:ascii="Times New Roman" w:eastAsia="Times New Roman" w:hAnsi="Times New Roman" w:cs="David"/>
      <w:noProof/>
      <w:sz w:val="24"/>
      <w:szCs w:val="24"/>
    </w:rPr>
  </w:style>
  <w:style w:type="paragraph" w:customStyle="1" w:styleId="C72888B05FB64576995A93B63D01A109">
    <w:name w:val="C72888B05FB64576995A93B63D01A109"/>
    <w:rsid w:val="008B4366"/>
    <w:pPr>
      <w:bidi/>
      <w:spacing w:after="0" w:line="240" w:lineRule="auto"/>
    </w:pPr>
    <w:rPr>
      <w:rFonts w:ascii="Times New Roman" w:eastAsia="Times New Roman" w:hAnsi="Times New Roman" w:cs="David"/>
      <w:noProof/>
      <w:sz w:val="24"/>
      <w:szCs w:val="24"/>
    </w:rPr>
  </w:style>
  <w:style w:type="paragraph" w:customStyle="1" w:styleId="EA8A7ADAA12F49C8AFDBD52997853A8A">
    <w:name w:val="EA8A7ADAA12F49C8AFDBD52997853A8A"/>
    <w:rsid w:val="00C96C06"/>
    <w:pPr>
      <w:bidi/>
      <w:spacing w:after="0" w:line="240" w:lineRule="auto"/>
    </w:pPr>
    <w:rPr>
      <w:rFonts w:ascii="Times New Roman" w:eastAsia="Times New Roman" w:hAnsi="Times New Roman" w:cs="David"/>
      <w:noProof/>
      <w:sz w:val="24"/>
      <w:szCs w:val="24"/>
    </w:rPr>
  </w:style>
  <w:style w:type="paragraph" w:customStyle="1" w:styleId="07E63041087440578503CBB90E7CFB38">
    <w:name w:val="07E63041087440578503CBB90E7CFB38"/>
    <w:rsid w:val="00B91FA3"/>
    <w:pPr>
      <w:bidi/>
      <w:spacing w:after="0" w:line="240" w:lineRule="auto"/>
    </w:pPr>
    <w:rPr>
      <w:rFonts w:ascii="Times New Roman" w:eastAsia="Times New Roman" w:hAnsi="Times New Roman" w:cs="David"/>
      <w:noProof/>
      <w:sz w:val="24"/>
      <w:szCs w:val="24"/>
    </w:rPr>
  </w:style>
  <w:style w:type="paragraph" w:customStyle="1" w:styleId="B7F77638D590467CBF4FB02B62D16BA8">
    <w:name w:val="B7F77638D590467CBF4FB02B62D16BA8"/>
    <w:rsid w:val="007C6F98"/>
    <w:pPr>
      <w:bidi/>
      <w:spacing w:after="0" w:line="240" w:lineRule="auto"/>
    </w:pPr>
    <w:rPr>
      <w:rFonts w:ascii="Times New Roman" w:eastAsia="Times New Roman" w:hAnsi="Times New Roman" w:cs="David"/>
      <w:noProof/>
      <w:sz w:val="24"/>
      <w:szCs w:val="24"/>
    </w:rPr>
  </w:style>
  <w:style w:type="paragraph" w:customStyle="1" w:styleId="E460D38E05664FF79D4EFF282EF8EC99">
    <w:name w:val="E460D38E05664FF79D4EFF282EF8EC99"/>
    <w:rsid w:val="00961B27"/>
    <w:pPr>
      <w:bidi/>
      <w:spacing w:after="0" w:line="240" w:lineRule="auto"/>
    </w:pPr>
    <w:rPr>
      <w:rFonts w:ascii="Times New Roman" w:eastAsia="Times New Roman" w:hAnsi="Times New Roman" w:cs="David"/>
      <w:noProof/>
      <w:sz w:val="24"/>
      <w:szCs w:val="24"/>
    </w:rPr>
  </w:style>
  <w:style w:type="paragraph" w:customStyle="1" w:styleId="E460D38E05664FF79D4EFF282EF8EC991">
    <w:name w:val="E460D38E05664FF79D4EFF282EF8EC991"/>
    <w:rsid w:val="00961B27"/>
    <w:pPr>
      <w:bidi/>
      <w:spacing w:after="0" w:line="240" w:lineRule="auto"/>
    </w:pPr>
    <w:rPr>
      <w:rFonts w:ascii="Times New Roman" w:eastAsia="Times New Roman" w:hAnsi="Times New Roman" w:cs="David"/>
      <w:noProof/>
      <w:sz w:val="24"/>
      <w:szCs w:val="24"/>
    </w:rPr>
  </w:style>
  <w:style w:type="paragraph" w:customStyle="1" w:styleId="E460D38E05664FF79D4EFF282EF8EC992">
    <w:name w:val="E460D38E05664FF79D4EFF282EF8EC992"/>
    <w:rsid w:val="00961B27"/>
    <w:pPr>
      <w:bidi/>
      <w:spacing w:after="0" w:line="240" w:lineRule="auto"/>
    </w:pPr>
    <w:rPr>
      <w:rFonts w:ascii="Times New Roman" w:eastAsia="Times New Roman" w:hAnsi="Times New Roman" w:cs="David"/>
      <w:noProof/>
      <w:sz w:val="24"/>
      <w:szCs w:val="24"/>
    </w:rPr>
  </w:style>
  <w:style w:type="paragraph" w:customStyle="1" w:styleId="E460D38E05664FF79D4EFF282EF8EC993">
    <w:name w:val="E460D38E05664FF79D4EFF282EF8EC993"/>
    <w:rsid w:val="00961B27"/>
    <w:pPr>
      <w:bidi/>
      <w:spacing w:after="0" w:line="240" w:lineRule="auto"/>
    </w:pPr>
    <w:rPr>
      <w:rFonts w:ascii="Times New Roman" w:eastAsia="Times New Roman" w:hAnsi="Times New Roman" w:cs="David"/>
      <w:noProof/>
      <w:sz w:val="24"/>
      <w:szCs w:val="24"/>
    </w:rPr>
  </w:style>
  <w:style w:type="paragraph" w:customStyle="1" w:styleId="E460D38E05664FF79D4EFF282EF8EC994">
    <w:name w:val="E460D38E05664FF79D4EFF282EF8EC994"/>
    <w:rsid w:val="00345C9D"/>
    <w:pPr>
      <w:bidi/>
      <w:spacing w:after="0" w:line="240" w:lineRule="auto"/>
    </w:pPr>
    <w:rPr>
      <w:rFonts w:ascii="Times New Roman" w:eastAsia="Times New Roman" w:hAnsi="Times New Roman" w:cs="David"/>
      <w:noProof/>
      <w:sz w:val="24"/>
      <w:szCs w:val="24"/>
    </w:rPr>
  </w:style>
  <w:style w:type="paragraph" w:customStyle="1" w:styleId="E460D38E05664FF79D4EFF282EF8EC995">
    <w:name w:val="E460D38E05664FF79D4EFF282EF8EC995"/>
    <w:rsid w:val="00345C9D"/>
    <w:pPr>
      <w:bidi/>
      <w:spacing w:after="0" w:line="240" w:lineRule="auto"/>
    </w:pPr>
    <w:rPr>
      <w:rFonts w:ascii="Times New Roman" w:eastAsia="Times New Roman" w:hAnsi="Times New Roman" w:cs="David"/>
      <w:noProof/>
      <w:sz w:val="24"/>
      <w:szCs w:val="24"/>
    </w:rPr>
  </w:style>
  <w:style w:type="paragraph" w:customStyle="1" w:styleId="396F6B356EA448168635E2E2621F6F1B">
    <w:name w:val="396F6B356EA448168635E2E2621F6F1B"/>
    <w:rsid w:val="00345C9D"/>
    <w:pPr>
      <w:bidi/>
      <w:spacing w:after="160" w:line="259" w:lineRule="auto"/>
    </w:pPr>
  </w:style>
  <w:style w:type="paragraph" w:customStyle="1" w:styleId="E460D38E05664FF79D4EFF282EF8EC996">
    <w:name w:val="E460D38E05664FF79D4EFF282EF8EC996"/>
    <w:rsid w:val="00345C9D"/>
    <w:pPr>
      <w:bidi/>
      <w:spacing w:after="0" w:line="240" w:lineRule="auto"/>
    </w:pPr>
    <w:rPr>
      <w:rFonts w:ascii="Times New Roman" w:eastAsia="Times New Roman" w:hAnsi="Times New Roman" w:cs="David"/>
      <w:noProof/>
      <w:sz w:val="24"/>
      <w:szCs w:val="24"/>
    </w:rPr>
  </w:style>
  <w:style w:type="paragraph" w:customStyle="1" w:styleId="E460D38E05664FF79D4EFF282EF8EC997">
    <w:name w:val="E460D38E05664FF79D4EFF282EF8EC997"/>
    <w:rsid w:val="00345C9D"/>
    <w:pPr>
      <w:bidi/>
      <w:spacing w:after="0" w:line="240" w:lineRule="auto"/>
    </w:pPr>
    <w:rPr>
      <w:rFonts w:ascii="Times New Roman" w:eastAsia="Times New Roman" w:hAnsi="Times New Roman" w:cs="David"/>
      <w:noProof/>
      <w:sz w:val="24"/>
      <w:szCs w:val="24"/>
    </w:rPr>
  </w:style>
  <w:style w:type="paragraph" w:customStyle="1" w:styleId="D290653DA13E4E738B7E725F79D73329">
    <w:name w:val="D290653DA13E4E738B7E725F79D73329"/>
    <w:rsid w:val="00345C9D"/>
    <w:pPr>
      <w:bidi/>
      <w:spacing w:after="0" w:line="240" w:lineRule="auto"/>
    </w:pPr>
    <w:rPr>
      <w:rFonts w:ascii="Times New Roman" w:eastAsia="Times New Roman" w:hAnsi="Times New Roman" w:cs="David"/>
      <w:noProof/>
      <w:sz w:val="24"/>
      <w:szCs w:val="24"/>
    </w:rPr>
  </w:style>
  <w:style w:type="paragraph" w:customStyle="1" w:styleId="E460D38E05664FF79D4EFF282EF8EC998">
    <w:name w:val="E460D38E05664FF79D4EFF282EF8EC998"/>
    <w:rsid w:val="00345C9D"/>
    <w:pPr>
      <w:bidi/>
      <w:spacing w:after="0" w:line="240" w:lineRule="auto"/>
    </w:pPr>
    <w:rPr>
      <w:rFonts w:ascii="Times New Roman" w:eastAsia="Times New Roman" w:hAnsi="Times New Roman" w:cs="David"/>
      <w:noProof/>
      <w:sz w:val="24"/>
      <w:szCs w:val="24"/>
    </w:rPr>
  </w:style>
  <w:style w:type="paragraph" w:customStyle="1" w:styleId="D290653DA13E4E738B7E725F79D733291">
    <w:name w:val="D290653DA13E4E738B7E725F79D733291"/>
    <w:rsid w:val="00345C9D"/>
    <w:pPr>
      <w:bidi/>
      <w:spacing w:after="0" w:line="240" w:lineRule="auto"/>
    </w:pPr>
    <w:rPr>
      <w:rFonts w:ascii="Times New Roman" w:eastAsia="Times New Roman" w:hAnsi="Times New Roman" w:cs="David"/>
      <w:noProof/>
      <w:sz w:val="24"/>
      <w:szCs w:val="24"/>
    </w:rPr>
  </w:style>
  <w:style w:type="paragraph" w:customStyle="1" w:styleId="E460D38E05664FF79D4EFF282EF8EC999">
    <w:name w:val="E460D38E05664FF79D4EFF282EF8EC999"/>
    <w:rsid w:val="00E31BF6"/>
    <w:pPr>
      <w:bidi/>
      <w:spacing w:after="0" w:line="240" w:lineRule="auto"/>
    </w:pPr>
    <w:rPr>
      <w:rFonts w:ascii="Times New Roman" w:eastAsia="Times New Roman" w:hAnsi="Times New Roman" w:cs="David"/>
      <w:noProof/>
      <w:sz w:val="24"/>
      <w:szCs w:val="24"/>
    </w:rPr>
  </w:style>
  <w:style w:type="paragraph" w:customStyle="1" w:styleId="D290653DA13E4E738B7E725F79D733292">
    <w:name w:val="D290653DA13E4E738B7E725F79D733292"/>
    <w:rsid w:val="00E31BF6"/>
    <w:pPr>
      <w:bidi/>
      <w:spacing w:after="0" w:line="240" w:lineRule="auto"/>
    </w:pPr>
    <w:rPr>
      <w:rFonts w:ascii="Times New Roman" w:eastAsia="Times New Roman" w:hAnsi="Times New Roman" w:cs="David"/>
      <w:noProof/>
      <w:sz w:val="24"/>
      <w:szCs w:val="24"/>
    </w:rPr>
  </w:style>
  <w:style w:type="paragraph" w:customStyle="1" w:styleId="BDEC6EF4A26446AEA2E1516382A0B8E3">
    <w:name w:val="BDEC6EF4A26446AEA2E1516382A0B8E3"/>
    <w:rsid w:val="00E31BF6"/>
    <w:pPr>
      <w:bidi/>
      <w:spacing w:after="160" w:line="259" w:lineRule="auto"/>
    </w:pPr>
  </w:style>
  <w:style w:type="paragraph" w:customStyle="1" w:styleId="74FAC0D4100349AAB7CFF87C68038087">
    <w:name w:val="74FAC0D4100349AAB7CFF87C68038087"/>
    <w:rsid w:val="00E31BF6"/>
    <w:pPr>
      <w:bidi/>
      <w:spacing w:after="160" w:line="259" w:lineRule="auto"/>
    </w:pPr>
  </w:style>
  <w:style w:type="paragraph" w:customStyle="1" w:styleId="E5D38D1255CA4A599DDADA0AE1A5590E">
    <w:name w:val="E5D38D1255CA4A599DDADA0AE1A5590E"/>
    <w:rsid w:val="00E31BF6"/>
    <w:pPr>
      <w:bidi/>
      <w:spacing w:after="160" w:line="259" w:lineRule="auto"/>
    </w:pPr>
  </w:style>
  <w:style w:type="paragraph" w:customStyle="1" w:styleId="B486AC440BF14F3BBBD42CAB0606FAF0">
    <w:name w:val="B486AC440BF14F3BBBD42CAB0606FAF0"/>
    <w:rsid w:val="00E31BF6"/>
    <w:pPr>
      <w:bidi/>
      <w:spacing w:after="160" w:line="259" w:lineRule="auto"/>
    </w:pPr>
  </w:style>
  <w:style w:type="paragraph" w:customStyle="1" w:styleId="D4BA11CE55FB47E4943078C6F3A24A5F">
    <w:name w:val="D4BA11CE55FB47E4943078C6F3A24A5F"/>
    <w:rsid w:val="00E31BF6"/>
    <w:pPr>
      <w:bidi/>
      <w:spacing w:after="160" w:line="259" w:lineRule="auto"/>
    </w:pPr>
  </w:style>
  <w:style w:type="paragraph" w:customStyle="1" w:styleId="BDEC6EF4A26446AEA2E1516382A0B8E31">
    <w:name w:val="BDEC6EF4A26446AEA2E1516382A0B8E31"/>
    <w:rsid w:val="009178E4"/>
    <w:pPr>
      <w:bidi/>
      <w:spacing w:after="0" w:line="240" w:lineRule="auto"/>
    </w:pPr>
    <w:rPr>
      <w:rFonts w:ascii="Times New Roman" w:eastAsia="Times New Roman" w:hAnsi="Times New Roman" w:cs="David"/>
      <w:noProof/>
      <w:sz w:val="24"/>
      <w:szCs w:val="24"/>
    </w:rPr>
  </w:style>
  <w:style w:type="paragraph" w:customStyle="1" w:styleId="74FAC0D4100349AAB7CFF87C680380871">
    <w:name w:val="74FAC0D4100349AAB7CFF87C680380871"/>
    <w:rsid w:val="009178E4"/>
    <w:pPr>
      <w:bidi/>
      <w:spacing w:after="0" w:line="240" w:lineRule="auto"/>
    </w:pPr>
    <w:rPr>
      <w:rFonts w:ascii="Times New Roman" w:eastAsia="Times New Roman" w:hAnsi="Times New Roman" w:cs="David"/>
      <w:noProof/>
      <w:sz w:val="24"/>
      <w:szCs w:val="24"/>
    </w:rPr>
  </w:style>
  <w:style w:type="paragraph" w:customStyle="1" w:styleId="E5D38D1255CA4A599DDADA0AE1A5590E1">
    <w:name w:val="E5D38D1255CA4A599DDADA0AE1A5590E1"/>
    <w:rsid w:val="009178E4"/>
    <w:pPr>
      <w:bidi/>
      <w:spacing w:after="0" w:line="240" w:lineRule="auto"/>
    </w:pPr>
    <w:rPr>
      <w:rFonts w:ascii="Times New Roman" w:eastAsia="Times New Roman" w:hAnsi="Times New Roman" w:cs="David"/>
      <w:noProof/>
      <w:sz w:val="24"/>
      <w:szCs w:val="24"/>
    </w:rPr>
  </w:style>
  <w:style w:type="paragraph" w:customStyle="1" w:styleId="B486AC440BF14F3BBBD42CAB0606FAF01">
    <w:name w:val="B486AC440BF14F3BBBD42CAB0606FAF01"/>
    <w:rsid w:val="009178E4"/>
    <w:pPr>
      <w:bidi/>
      <w:spacing w:after="0" w:line="240" w:lineRule="auto"/>
    </w:pPr>
    <w:rPr>
      <w:rFonts w:ascii="Times New Roman" w:eastAsia="Times New Roman" w:hAnsi="Times New Roman" w:cs="David"/>
      <w:noProof/>
      <w:sz w:val="24"/>
      <w:szCs w:val="24"/>
    </w:rPr>
  </w:style>
  <w:style w:type="paragraph" w:customStyle="1" w:styleId="D4BA11CE55FB47E4943078C6F3A24A5F1">
    <w:name w:val="D4BA11CE55FB47E4943078C6F3A24A5F1"/>
    <w:rsid w:val="009178E4"/>
    <w:pPr>
      <w:bidi/>
      <w:spacing w:after="0" w:line="240" w:lineRule="auto"/>
    </w:pPr>
    <w:rPr>
      <w:rFonts w:ascii="Times New Roman" w:eastAsia="Times New Roman" w:hAnsi="Times New Roman" w:cs="David"/>
      <w:noProof/>
      <w:sz w:val="24"/>
      <w:szCs w:val="24"/>
    </w:rPr>
  </w:style>
  <w:style w:type="paragraph" w:customStyle="1" w:styleId="E460D38E05664FF79D4EFF282EF8EC9910">
    <w:name w:val="E460D38E05664FF79D4EFF282EF8EC9910"/>
    <w:rsid w:val="009178E4"/>
    <w:pPr>
      <w:bidi/>
      <w:spacing w:after="0" w:line="240" w:lineRule="auto"/>
    </w:pPr>
    <w:rPr>
      <w:rFonts w:ascii="Times New Roman" w:eastAsia="Times New Roman" w:hAnsi="Times New Roman" w:cs="David"/>
      <w:noProof/>
      <w:sz w:val="24"/>
      <w:szCs w:val="24"/>
    </w:rPr>
  </w:style>
  <w:style w:type="paragraph" w:customStyle="1" w:styleId="D290653DA13E4E738B7E725F79D733293">
    <w:name w:val="D290653DA13E4E738B7E725F79D733293"/>
    <w:rsid w:val="009178E4"/>
    <w:pPr>
      <w:bidi/>
      <w:spacing w:after="0" w:line="240" w:lineRule="auto"/>
    </w:pPr>
    <w:rPr>
      <w:rFonts w:ascii="Times New Roman" w:eastAsia="Times New Roman" w:hAnsi="Times New Roman" w:cs="David"/>
      <w:noProof/>
      <w:sz w:val="24"/>
      <w:szCs w:val="24"/>
    </w:rPr>
  </w:style>
  <w:style w:type="paragraph" w:customStyle="1" w:styleId="BDEC6EF4A26446AEA2E1516382A0B8E32">
    <w:name w:val="BDEC6EF4A26446AEA2E1516382A0B8E32"/>
    <w:rsid w:val="000A4ACE"/>
    <w:pPr>
      <w:bidi/>
      <w:spacing w:after="0" w:line="240" w:lineRule="auto"/>
    </w:pPr>
    <w:rPr>
      <w:rFonts w:ascii="Times New Roman" w:eastAsia="Times New Roman" w:hAnsi="Times New Roman" w:cs="David"/>
      <w:noProof/>
      <w:sz w:val="24"/>
      <w:szCs w:val="24"/>
    </w:rPr>
  </w:style>
  <w:style w:type="paragraph" w:customStyle="1" w:styleId="74FAC0D4100349AAB7CFF87C680380872">
    <w:name w:val="74FAC0D4100349AAB7CFF87C680380872"/>
    <w:rsid w:val="000A4ACE"/>
    <w:pPr>
      <w:bidi/>
      <w:spacing w:after="0" w:line="240" w:lineRule="auto"/>
    </w:pPr>
    <w:rPr>
      <w:rFonts w:ascii="Times New Roman" w:eastAsia="Times New Roman" w:hAnsi="Times New Roman" w:cs="David"/>
      <w:noProof/>
      <w:sz w:val="24"/>
      <w:szCs w:val="24"/>
    </w:rPr>
  </w:style>
  <w:style w:type="paragraph" w:customStyle="1" w:styleId="E5D38D1255CA4A599DDADA0AE1A5590E2">
    <w:name w:val="E5D38D1255CA4A599DDADA0AE1A5590E2"/>
    <w:rsid w:val="000A4ACE"/>
    <w:pPr>
      <w:bidi/>
      <w:spacing w:after="0" w:line="240" w:lineRule="auto"/>
    </w:pPr>
    <w:rPr>
      <w:rFonts w:ascii="Times New Roman" w:eastAsia="Times New Roman" w:hAnsi="Times New Roman" w:cs="David"/>
      <w:noProof/>
      <w:sz w:val="24"/>
      <w:szCs w:val="24"/>
    </w:rPr>
  </w:style>
  <w:style w:type="paragraph" w:customStyle="1" w:styleId="B486AC440BF14F3BBBD42CAB0606FAF02">
    <w:name w:val="B486AC440BF14F3BBBD42CAB0606FAF02"/>
    <w:rsid w:val="000A4ACE"/>
    <w:pPr>
      <w:bidi/>
      <w:spacing w:after="0" w:line="240" w:lineRule="auto"/>
    </w:pPr>
    <w:rPr>
      <w:rFonts w:ascii="Times New Roman" w:eastAsia="Times New Roman" w:hAnsi="Times New Roman" w:cs="David"/>
      <w:noProof/>
      <w:sz w:val="24"/>
      <w:szCs w:val="24"/>
    </w:rPr>
  </w:style>
  <w:style w:type="paragraph" w:customStyle="1" w:styleId="D4BA11CE55FB47E4943078C6F3A24A5F2">
    <w:name w:val="D4BA11CE55FB47E4943078C6F3A24A5F2"/>
    <w:rsid w:val="000A4ACE"/>
    <w:pPr>
      <w:bidi/>
      <w:spacing w:after="0" w:line="240" w:lineRule="auto"/>
    </w:pPr>
    <w:rPr>
      <w:rFonts w:ascii="Times New Roman" w:eastAsia="Times New Roman" w:hAnsi="Times New Roman" w:cs="David"/>
      <w:noProof/>
      <w:sz w:val="24"/>
      <w:szCs w:val="24"/>
    </w:rPr>
  </w:style>
  <w:style w:type="paragraph" w:customStyle="1" w:styleId="E460D38E05664FF79D4EFF282EF8EC9911">
    <w:name w:val="E460D38E05664FF79D4EFF282EF8EC9911"/>
    <w:rsid w:val="000A4ACE"/>
    <w:pPr>
      <w:bidi/>
      <w:spacing w:after="0" w:line="240" w:lineRule="auto"/>
    </w:pPr>
    <w:rPr>
      <w:rFonts w:ascii="Times New Roman" w:eastAsia="Times New Roman" w:hAnsi="Times New Roman" w:cs="David"/>
      <w:noProof/>
      <w:sz w:val="24"/>
      <w:szCs w:val="24"/>
    </w:rPr>
  </w:style>
  <w:style w:type="paragraph" w:customStyle="1" w:styleId="D290653DA13E4E738B7E725F79D733294">
    <w:name w:val="D290653DA13E4E738B7E725F79D733294"/>
    <w:rsid w:val="000A4ACE"/>
    <w:pPr>
      <w:bidi/>
      <w:spacing w:after="0" w:line="240" w:lineRule="auto"/>
    </w:pPr>
    <w:rPr>
      <w:rFonts w:ascii="Times New Roman" w:eastAsia="Times New Roman" w:hAnsi="Times New Roman" w:cs="David"/>
      <w:noProof/>
      <w:sz w:val="24"/>
      <w:szCs w:val="24"/>
    </w:rPr>
  </w:style>
  <w:style w:type="paragraph" w:customStyle="1" w:styleId="BDEC6EF4A26446AEA2E1516382A0B8E33">
    <w:name w:val="BDEC6EF4A26446AEA2E1516382A0B8E33"/>
    <w:rsid w:val="000A4ACE"/>
    <w:pPr>
      <w:bidi/>
      <w:spacing w:after="0" w:line="240" w:lineRule="auto"/>
    </w:pPr>
    <w:rPr>
      <w:rFonts w:ascii="Times New Roman" w:eastAsia="Times New Roman" w:hAnsi="Times New Roman" w:cs="David"/>
      <w:noProof/>
      <w:sz w:val="24"/>
      <w:szCs w:val="24"/>
    </w:rPr>
  </w:style>
  <w:style w:type="paragraph" w:customStyle="1" w:styleId="74FAC0D4100349AAB7CFF87C680380873">
    <w:name w:val="74FAC0D4100349AAB7CFF87C680380873"/>
    <w:rsid w:val="000A4ACE"/>
    <w:pPr>
      <w:bidi/>
      <w:spacing w:after="0" w:line="240" w:lineRule="auto"/>
    </w:pPr>
    <w:rPr>
      <w:rFonts w:ascii="Times New Roman" w:eastAsia="Times New Roman" w:hAnsi="Times New Roman" w:cs="David"/>
      <w:noProof/>
      <w:sz w:val="24"/>
      <w:szCs w:val="24"/>
    </w:rPr>
  </w:style>
  <w:style w:type="paragraph" w:customStyle="1" w:styleId="E5D38D1255CA4A599DDADA0AE1A5590E3">
    <w:name w:val="E5D38D1255CA4A599DDADA0AE1A5590E3"/>
    <w:rsid w:val="000A4ACE"/>
    <w:pPr>
      <w:bidi/>
      <w:spacing w:after="0" w:line="240" w:lineRule="auto"/>
    </w:pPr>
    <w:rPr>
      <w:rFonts w:ascii="Times New Roman" w:eastAsia="Times New Roman" w:hAnsi="Times New Roman" w:cs="David"/>
      <w:noProof/>
      <w:sz w:val="24"/>
      <w:szCs w:val="24"/>
    </w:rPr>
  </w:style>
  <w:style w:type="paragraph" w:customStyle="1" w:styleId="B486AC440BF14F3BBBD42CAB0606FAF03">
    <w:name w:val="B486AC440BF14F3BBBD42CAB0606FAF03"/>
    <w:rsid w:val="000A4ACE"/>
    <w:pPr>
      <w:bidi/>
      <w:spacing w:after="0" w:line="240" w:lineRule="auto"/>
    </w:pPr>
    <w:rPr>
      <w:rFonts w:ascii="Times New Roman" w:eastAsia="Times New Roman" w:hAnsi="Times New Roman" w:cs="David"/>
      <w:noProof/>
      <w:sz w:val="24"/>
      <w:szCs w:val="24"/>
    </w:rPr>
  </w:style>
  <w:style w:type="paragraph" w:customStyle="1" w:styleId="D4BA11CE55FB47E4943078C6F3A24A5F3">
    <w:name w:val="D4BA11CE55FB47E4943078C6F3A24A5F3"/>
    <w:rsid w:val="000A4ACE"/>
    <w:pPr>
      <w:bidi/>
      <w:spacing w:after="0" w:line="240" w:lineRule="auto"/>
    </w:pPr>
    <w:rPr>
      <w:rFonts w:ascii="Times New Roman" w:eastAsia="Times New Roman" w:hAnsi="Times New Roman" w:cs="David"/>
      <w:noProof/>
      <w:sz w:val="24"/>
      <w:szCs w:val="24"/>
    </w:rPr>
  </w:style>
  <w:style w:type="paragraph" w:customStyle="1" w:styleId="E460D38E05664FF79D4EFF282EF8EC9912">
    <w:name w:val="E460D38E05664FF79D4EFF282EF8EC9912"/>
    <w:rsid w:val="000A4ACE"/>
    <w:pPr>
      <w:bidi/>
      <w:spacing w:after="0" w:line="240" w:lineRule="auto"/>
    </w:pPr>
    <w:rPr>
      <w:rFonts w:ascii="Times New Roman" w:eastAsia="Times New Roman" w:hAnsi="Times New Roman" w:cs="David"/>
      <w:noProof/>
      <w:sz w:val="24"/>
      <w:szCs w:val="24"/>
    </w:rPr>
  </w:style>
  <w:style w:type="paragraph" w:customStyle="1" w:styleId="D290653DA13E4E738B7E725F79D733295">
    <w:name w:val="D290653DA13E4E738B7E725F79D733295"/>
    <w:rsid w:val="000A4ACE"/>
    <w:pPr>
      <w:bidi/>
      <w:spacing w:after="0" w:line="240" w:lineRule="auto"/>
    </w:pPr>
    <w:rPr>
      <w:rFonts w:ascii="Times New Roman" w:eastAsia="Times New Roman" w:hAnsi="Times New Roman" w:cs="David"/>
      <w:noProof/>
      <w:sz w:val="24"/>
      <w:szCs w:val="24"/>
    </w:rPr>
  </w:style>
  <w:style w:type="paragraph" w:customStyle="1" w:styleId="4CB7196AAF294F94B2C6087C9BF06E84">
    <w:name w:val="4CB7196AAF294F94B2C6087C9BF06E84"/>
    <w:rsid w:val="00F04DC1"/>
    <w:pPr>
      <w:bidi/>
      <w:spacing w:after="160" w:line="259" w:lineRule="auto"/>
    </w:pPr>
  </w:style>
  <w:style w:type="paragraph" w:customStyle="1" w:styleId="116EBBD5A99E4E519EE4A5661D82C50E">
    <w:name w:val="116EBBD5A99E4E519EE4A5661D82C50E"/>
    <w:rsid w:val="00F04DC1"/>
    <w:pPr>
      <w:bidi/>
      <w:spacing w:after="160" w:line="259" w:lineRule="auto"/>
    </w:pPr>
  </w:style>
  <w:style w:type="paragraph" w:customStyle="1" w:styleId="E6E6A917CC5E4519A8F2E864C48E22F2">
    <w:name w:val="E6E6A917CC5E4519A8F2E864C48E22F2"/>
    <w:rsid w:val="00F04DC1"/>
    <w:pPr>
      <w:bidi/>
      <w:spacing w:after="160" w:line="259" w:lineRule="auto"/>
    </w:pPr>
  </w:style>
  <w:style w:type="paragraph" w:customStyle="1" w:styleId="9DC4FF55E52B4E209349FC40470DD418">
    <w:name w:val="9DC4FF55E52B4E209349FC40470DD418"/>
    <w:rsid w:val="00F04DC1"/>
    <w:pPr>
      <w:bidi/>
      <w:spacing w:after="160" w:line="259" w:lineRule="auto"/>
    </w:pPr>
  </w:style>
  <w:style w:type="paragraph" w:customStyle="1" w:styleId="112E7BE5CCF64A68A3D497F283A4D695">
    <w:name w:val="112E7BE5CCF64A68A3D497F283A4D695"/>
    <w:rsid w:val="00F04DC1"/>
    <w:pPr>
      <w:bidi/>
      <w:spacing w:after="160" w:line="259" w:lineRule="auto"/>
    </w:pPr>
  </w:style>
  <w:style w:type="paragraph" w:customStyle="1" w:styleId="F7AC192E75FB4DD1B3A20434CFD65B69">
    <w:name w:val="F7AC192E75FB4DD1B3A20434CFD65B69"/>
    <w:rsid w:val="00F04DC1"/>
    <w:pPr>
      <w:bidi/>
      <w:spacing w:after="160" w:line="259" w:lineRule="auto"/>
    </w:pPr>
  </w:style>
  <w:style w:type="paragraph" w:customStyle="1" w:styleId="116EBBD5A99E4E519EE4A5661D82C50E1">
    <w:name w:val="116EBBD5A99E4E519EE4A5661D82C50E1"/>
    <w:rsid w:val="007E254A"/>
    <w:pPr>
      <w:bidi/>
      <w:spacing w:after="0" w:line="240" w:lineRule="auto"/>
    </w:pPr>
    <w:rPr>
      <w:rFonts w:ascii="Times New Roman" w:eastAsia="Times New Roman" w:hAnsi="Times New Roman" w:cs="David"/>
      <w:noProof/>
      <w:sz w:val="24"/>
      <w:szCs w:val="24"/>
    </w:rPr>
  </w:style>
  <w:style w:type="paragraph" w:customStyle="1" w:styleId="E6E6A917CC5E4519A8F2E864C48E22F21">
    <w:name w:val="E6E6A917CC5E4519A8F2E864C48E22F21"/>
    <w:rsid w:val="007E254A"/>
    <w:pPr>
      <w:bidi/>
      <w:spacing w:after="0" w:line="240" w:lineRule="auto"/>
    </w:pPr>
    <w:rPr>
      <w:rFonts w:ascii="Times New Roman" w:eastAsia="Times New Roman" w:hAnsi="Times New Roman" w:cs="David"/>
      <w:noProof/>
      <w:sz w:val="24"/>
      <w:szCs w:val="24"/>
    </w:rPr>
  </w:style>
  <w:style w:type="paragraph" w:customStyle="1" w:styleId="9DC4FF55E52B4E209349FC40470DD4181">
    <w:name w:val="9DC4FF55E52B4E209349FC40470DD4181"/>
    <w:rsid w:val="007E254A"/>
    <w:pPr>
      <w:bidi/>
      <w:spacing w:after="0" w:line="240" w:lineRule="auto"/>
    </w:pPr>
    <w:rPr>
      <w:rFonts w:ascii="Times New Roman" w:eastAsia="Times New Roman" w:hAnsi="Times New Roman" w:cs="David"/>
      <w:noProof/>
      <w:sz w:val="24"/>
      <w:szCs w:val="24"/>
    </w:rPr>
  </w:style>
  <w:style w:type="paragraph" w:customStyle="1" w:styleId="112E7BE5CCF64A68A3D497F283A4D6951">
    <w:name w:val="112E7BE5CCF64A68A3D497F283A4D6951"/>
    <w:rsid w:val="007E254A"/>
    <w:pPr>
      <w:bidi/>
      <w:spacing w:after="0" w:line="240" w:lineRule="auto"/>
    </w:pPr>
    <w:rPr>
      <w:rFonts w:ascii="Times New Roman" w:eastAsia="Times New Roman" w:hAnsi="Times New Roman" w:cs="David"/>
      <w:noProof/>
      <w:sz w:val="24"/>
      <w:szCs w:val="24"/>
    </w:rPr>
  </w:style>
  <w:style w:type="paragraph" w:customStyle="1" w:styleId="F7AC192E75FB4DD1B3A20434CFD65B691">
    <w:name w:val="F7AC192E75FB4DD1B3A20434CFD65B691"/>
    <w:rsid w:val="007E254A"/>
    <w:pPr>
      <w:bidi/>
      <w:spacing w:after="0" w:line="240" w:lineRule="auto"/>
    </w:pPr>
    <w:rPr>
      <w:rFonts w:ascii="Times New Roman" w:eastAsia="Times New Roman" w:hAnsi="Times New Roman" w:cs="David"/>
      <w:noProof/>
      <w:sz w:val="24"/>
      <w:szCs w:val="24"/>
    </w:rPr>
  </w:style>
  <w:style w:type="paragraph" w:customStyle="1" w:styleId="E460D38E05664FF79D4EFF282EF8EC9913">
    <w:name w:val="E460D38E05664FF79D4EFF282EF8EC9913"/>
    <w:rsid w:val="007E254A"/>
    <w:pPr>
      <w:bidi/>
      <w:spacing w:after="0" w:line="240" w:lineRule="auto"/>
    </w:pPr>
    <w:rPr>
      <w:rFonts w:ascii="Times New Roman" w:eastAsia="Times New Roman" w:hAnsi="Times New Roman" w:cs="David"/>
      <w:noProof/>
      <w:sz w:val="24"/>
      <w:szCs w:val="24"/>
    </w:rPr>
  </w:style>
  <w:style w:type="paragraph" w:customStyle="1" w:styleId="D290653DA13E4E738B7E725F79D733296">
    <w:name w:val="D290653DA13E4E738B7E725F79D733296"/>
    <w:rsid w:val="007E254A"/>
    <w:pPr>
      <w:bidi/>
      <w:spacing w:after="0" w:line="240" w:lineRule="auto"/>
    </w:pPr>
    <w:rPr>
      <w:rFonts w:ascii="Times New Roman" w:eastAsia="Times New Roman" w:hAnsi="Times New Roman" w:cs="David"/>
      <w:noProof/>
      <w:sz w:val="24"/>
      <w:szCs w:val="24"/>
    </w:rPr>
  </w:style>
  <w:style w:type="paragraph" w:customStyle="1" w:styleId="116EBBD5A99E4E519EE4A5661D82C50E2">
    <w:name w:val="116EBBD5A99E4E519EE4A5661D82C50E2"/>
    <w:rsid w:val="00334638"/>
    <w:pPr>
      <w:bidi/>
      <w:spacing w:after="0" w:line="240" w:lineRule="auto"/>
    </w:pPr>
    <w:rPr>
      <w:rFonts w:ascii="Times New Roman" w:eastAsia="Times New Roman" w:hAnsi="Times New Roman" w:cs="David"/>
      <w:noProof/>
      <w:sz w:val="24"/>
      <w:szCs w:val="24"/>
    </w:rPr>
  </w:style>
  <w:style w:type="paragraph" w:customStyle="1" w:styleId="E6E6A917CC5E4519A8F2E864C48E22F22">
    <w:name w:val="E6E6A917CC5E4519A8F2E864C48E22F22"/>
    <w:rsid w:val="00334638"/>
    <w:pPr>
      <w:bidi/>
      <w:spacing w:after="0" w:line="240" w:lineRule="auto"/>
    </w:pPr>
    <w:rPr>
      <w:rFonts w:ascii="Times New Roman" w:eastAsia="Times New Roman" w:hAnsi="Times New Roman" w:cs="David"/>
      <w:noProof/>
      <w:sz w:val="24"/>
      <w:szCs w:val="24"/>
    </w:rPr>
  </w:style>
  <w:style w:type="paragraph" w:customStyle="1" w:styleId="9DC4FF55E52B4E209349FC40470DD4182">
    <w:name w:val="9DC4FF55E52B4E209349FC40470DD4182"/>
    <w:rsid w:val="00334638"/>
    <w:pPr>
      <w:bidi/>
      <w:spacing w:after="0" w:line="240" w:lineRule="auto"/>
    </w:pPr>
    <w:rPr>
      <w:rFonts w:ascii="Times New Roman" w:eastAsia="Times New Roman" w:hAnsi="Times New Roman" w:cs="David"/>
      <w:noProof/>
      <w:sz w:val="24"/>
      <w:szCs w:val="24"/>
    </w:rPr>
  </w:style>
  <w:style w:type="paragraph" w:customStyle="1" w:styleId="112E7BE5CCF64A68A3D497F283A4D6952">
    <w:name w:val="112E7BE5CCF64A68A3D497F283A4D6952"/>
    <w:rsid w:val="00334638"/>
    <w:pPr>
      <w:bidi/>
      <w:spacing w:after="0" w:line="240" w:lineRule="auto"/>
    </w:pPr>
    <w:rPr>
      <w:rFonts w:ascii="Times New Roman" w:eastAsia="Times New Roman" w:hAnsi="Times New Roman" w:cs="David"/>
      <w:noProof/>
      <w:sz w:val="24"/>
      <w:szCs w:val="24"/>
    </w:rPr>
  </w:style>
  <w:style w:type="paragraph" w:customStyle="1" w:styleId="ECC435E5782A4F3FB39457279E24BE88">
    <w:name w:val="ECC435E5782A4F3FB39457279E24BE88"/>
    <w:rsid w:val="00334638"/>
    <w:pPr>
      <w:bidi/>
      <w:spacing w:after="0" w:line="240" w:lineRule="auto"/>
    </w:pPr>
    <w:rPr>
      <w:rFonts w:ascii="Times New Roman" w:eastAsia="Times New Roman" w:hAnsi="Times New Roman" w:cs="David"/>
      <w:noProof/>
      <w:sz w:val="24"/>
      <w:szCs w:val="24"/>
    </w:rPr>
  </w:style>
  <w:style w:type="paragraph" w:customStyle="1" w:styleId="E460D38E05664FF79D4EFF282EF8EC9914">
    <w:name w:val="E460D38E05664FF79D4EFF282EF8EC9914"/>
    <w:rsid w:val="00334638"/>
    <w:pPr>
      <w:bidi/>
      <w:spacing w:after="0" w:line="240" w:lineRule="auto"/>
    </w:pPr>
    <w:rPr>
      <w:rFonts w:ascii="Times New Roman" w:eastAsia="Times New Roman" w:hAnsi="Times New Roman" w:cs="David"/>
      <w:noProof/>
      <w:sz w:val="24"/>
      <w:szCs w:val="24"/>
    </w:rPr>
  </w:style>
  <w:style w:type="paragraph" w:customStyle="1" w:styleId="D290653DA13E4E738B7E725F79D733297">
    <w:name w:val="D290653DA13E4E738B7E725F79D733297"/>
    <w:rsid w:val="00334638"/>
    <w:pPr>
      <w:bidi/>
      <w:spacing w:after="0" w:line="240" w:lineRule="auto"/>
    </w:pPr>
    <w:rPr>
      <w:rFonts w:ascii="Times New Roman" w:eastAsia="Times New Roman" w:hAnsi="Times New Roman" w:cs="David"/>
      <w:noProof/>
      <w:sz w:val="24"/>
      <w:szCs w:val="24"/>
    </w:rPr>
  </w:style>
  <w:style w:type="paragraph" w:customStyle="1" w:styleId="116EBBD5A99E4E519EE4A5661D82C50E3">
    <w:name w:val="116EBBD5A99E4E519EE4A5661D82C50E3"/>
    <w:rsid w:val="00F4674E"/>
    <w:pPr>
      <w:bidi/>
      <w:spacing w:after="0" w:line="240" w:lineRule="auto"/>
    </w:pPr>
    <w:rPr>
      <w:rFonts w:ascii="Times New Roman" w:eastAsia="Times New Roman" w:hAnsi="Times New Roman" w:cs="David"/>
      <w:noProof/>
      <w:sz w:val="24"/>
      <w:szCs w:val="24"/>
    </w:rPr>
  </w:style>
  <w:style w:type="paragraph" w:customStyle="1" w:styleId="E6E6A917CC5E4519A8F2E864C48E22F23">
    <w:name w:val="E6E6A917CC5E4519A8F2E864C48E22F23"/>
    <w:rsid w:val="00F4674E"/>
    <w:pPr>
      <w:bidi/>
      <w:spacing w:after="0" w:line="240" w:lineRule="auto"/>
    </w:pPr>
    <w:rPr>
      <w:rFonts w:ascii="Times New Roman" w:eastAsia="Times New Roman" w:hAnsi="Times New Roman" w:cs="David"/>
      <w:noProof/>
      <w:sz w:val="24"/>
      <w:szCs w:val="24"/>
    </w:rPr>
  </w:style>
  <w:style w:type="paragraph" w:customStyle="1" w:styleId="9DC4FF55E52B4E209349FC40470DD4183">
    <w:name w:val="9DC4FF55E52B4E209349FC40470DD4183"/>
    <w:rsid w:val="00F4674E"/>
    <w:pPr>
      <w:bidi/>
      <w:spacing w:after="0" w:line="240" w:lineRule="auto"/>
    </w:pPr>
    <w:rPr>
      <w:rFonts w:ascii="Times New Roman" w:eastAsia="Times New Roman" w:hAnsi="Times New Roman" w:cs="David"/>
      <w:noProof/>
      <w:sz w:val="24"/>
      <w:szCs w:val="24"/>
    </w:rPr>
  </w:style>
  <w:style w:type="paragraph" w:customStyle="1" w:styleId="112E7BE5CCF64A68A3D497F283A4D6953">
    <w:name w:val="112E7BE5CCF64A68A3D497F283A4D6953"/>
    <w:rsid w:val="00F4674E"/>
    <w:pPr>
      <w:bidi/>
      <w:spacing w:after="0" w:line="240" w:lineRule="auto"/>
    </w:pPr>
    <w:rPr>
      <w:rFonts w:ascii="Times New Roman" w:eastAsia="Times New Roman" w:hAnsi="Times New Roman" w:cs="David"/>
      <w:noProof/>
      <w:sz w:val="24"/>
      <w:szCs w:val="24"/>
    </w:rPr>
  </w:style>
  <w:style w:type="paragraph" w:customStyle="1" w:styleId="ECC435E5782A4F3FB39457279E24BE881">
    <w:name w:val="ECC435E5782A4F3FB39457279E24BE881"/>
    <w:rsid w:val="00F4674E"/>
    <w:pPr>
      <w:bidi/>
      <w:spacing w:after="0" w:line="240" w:lineRule="auto"/>
    </w:pPr>
    <w:rPr>
      <w:rFonts w:ascii="Times New Roman" w:eastAsia="Times New Roman" w:hAnsi="Times New Roman" w:cs="David"/>
      <w:noProof/>
      <w:sz w:val="24"/>
      <w:szCs w:val="24"/>
    </w:rPr>
  </w:style>
  <w:style w:type="paragraph" w:customStyle="1" w:styleId="E460D38E05664FF79D4EFF282EF8EC9915">
    <w:name w:val="E460D38E05664FF79D4EFF282EF8EC9915"/>
    <w:rsid w:val="00F4674E"/>
    <w:pPr>
      <w:bidi/>
      <w:spacing w:after="0" w:line="240" w:lineRule="auto"/>
    </w:pPr>
    <w:rPr>
      <w:rFonts w:ascii="Times New Roman" w:eastAsia="Times New Roman" w:hAnsi="Times New Roman" w:cs="David"/>
      <w:noProof/>
      <w:sz w:val="24"/>
      <w:szCs w:val="24"/>
    </w:rPr>
  </w:style>
  <w:style w:type="paragraph" w:customStyle="1" w:styleId="D290653DA13E4E738B7E725F79D733298">
    <w:name w:val="D290653DA13E4E738B7E725F79D733298"/>
    <w:rsid w:val="00F4674E"/>
    <w:pPr>
      <w:bidi/>
      <w:spacing w:after="0" w:line="240" w:lineRule="auto"/>
    </w:pPr>
    <w:rPr>
      <w:rFonts w:ascii="Times New Roman" w:eastAsia="Times New Roman" w:hAnsi="Times New Roman" w:cs="David"/>
      <w:noProof/>
      <w:sz w:val="24"/>
      <w:szCs w:val="24"/>
    </w:rPr>
  </w:style>
  <w:style w:type="paragraph" w:customStyle="1" w:styleId="116EBBD5A99E4E519EE4A5661D82C50E4">
    <w:name w:val="116EBBD5A99E4E519EE4A5661D82C50E4"/>
    <w:rsid w:val="002E734C"/>
    <w:pPr>
      <w:bidi/>
      <w:spacing w:after="0" w:line="240" w:lineRule="auto"/>
    </w:pPr>
    <w:rPr>
      <w:rFonts w:ascii="Times New Roman" w:eastAsia="Times New Roman" w:hAnsi="Times New Roman" w:cs="David"/>
      <w:noProof/>
      <w:sz w:val="24"/>
      <w:szCs w:val="24"/>
    </w:rPr>
  </w:style>
  <w:style w:type="paragraph" w:customStyle="1" w:styleId="E6E6A917CC5E4519A8F2E864C48E22F24">
    <w:name w:val="E6E6A917CC5E4519A8F2E864C48E22F24"/>
    <w:rsid w:val="002E734C"/>
    <w:pPr>
      <w:bidi/>
      <w:spacing w:after="0" w:line="240" w:lineRule="auto"/>
    </w:pPr>
    <w:rPr>
      <w:rFonts w:ascii="Times New Roman" w:eastAsia="Times New Roman" w:hAnsi="Times New Roman" w:cs="David"/>
      <w:noProof/>
      <w:sz w:val="24"/>
      <w:szCs w:val="24"/>
    </w:rPr>
  </w:style>
  <w:style w:type="paragraph" w:customStyle="1" w:styleId="9DC4FF55E52B4E209349FC40470DD4184">
    <w:name w:val="9DC4FF55E52B4E209349FC40470DD4184"/>
    <w:rsid w:val="002E734C"/>
    <w:pPr>
      <w:bidi/>
      <w:spacing w:after="0" w:line="240" w:lineRule="auto"/>
    </w:pPr>
    <w:rPr>
      <w:rFonts w:ascii="Times New Roman" w:eastAsia="Times New Roman" w:hAnsi="Times New Roman" w:cs="David"/>
      <w:noProof/>
      <w:sz w:val="24"/>
      <w:szCs w:val="24"/>
    </w:rPr>
  </w:style>
  <w:style w:type="paragraph" w:customStyle="1" w:styleId="112E7BE5CCF64A68A3D497F283A4D6954">
    <w:name w:val="112E7BE5CCF64A68A3D497F283A4D6954"/>
    <w:rsid w:val="002E734C"/>
    <w:pPr>
      <w:bidi/>
      <w:spacing w:after="0" w:line="240" w:lineRule="auto"/>
    </w:pPr>
    <w:rPr>
      <w:rFonts w:ascii="Times New Roman" w:eastAsia="Times New Roman" w:hAnsi="Times New Roman" w:cs="David"/>
      <w:noProof/>
      <w:sz w:val="24"/>
      <w:szCs w:val="24"/>
    </w:rPr>
  </w:style>
  <w:style w:type="paragraph" w:customStyle="1" w:styleId="ECC435E5782A4F3FB39457279E24BE882">
    <w:name w:val="ECC435E5782A4F3FB39457279E24BE882"/>
    <w:rsid w:val="002E734C"/>
    <w:pPr>
      <w:bidi/>
      <w:spacing w:after="0" w:line="240" w:lineRule="auto"/>
    </w:pPr>
    <w:rPr>
      <w:rFonts w:ascii="Times New Roman" w:eastAsia="Times New Roman" w:hAnsi="Times New Roman" w:cs="David"/>
      <w:noProof/>
      <w:sz w:val="24"/>
      <w:szCs w:val="24"/>
    </w:rPr>
  </w:style>
  <w:style w:type="paragraph" w:customStyle="1" w:styleId="E460D38E05664FF79D4EFF282EF8EC9916">
    <w:name w:val="E460D38E05664FF79D4EFF282EF8EC9916"/>
    <w:rsid w:val="002E734C"/>
    <w:pPr>
      <w:bidi/>
      <w:spacing w:after="0" w:line="240" w:lineRule="auto"/>
    </w:pPr>
    <w:rPr>
      <w:rFonts w:ascii="Times New Roman" w:eastAsia="Times New Roman" w:hAnsi="Times New Roman" w:cs="David"/>
      <w:noProof/>
      <w:sz w:val="24"/>
      <w:szCs w:val="24"/>
    </w:rPr>
  </w:style>
  <w:style w:type="paragraph" w:customStyle="1" w:styleId="D290653DA13E4E738B7E725F79D733299">
    <w:name w:val="D290653DA13E4E738B7E725F79D733299"/>
    <w:rsid w:val="002E734C"/>
    <w:pPr>
      <w:bidi/>
      <w:spacing w:after="0" w:line="240" w:lineRule="auto"/>
    </w:pPr>
    <w:rPr>
      <w:rFonts w:ascii="Times New Roman" w:eastAsia="Times New Roman" w:hAnsi="Times New Roman" w:cs="David"/>
      <w:noProof/>
      <w:sz w:val="24"/>
      <w:szCs w:val="24"/>
    </w:rPr>
  </w:style>
  <w:style w:type="paragraph" w:customStyle="1" w:styleId="116EBBD5A99E4E519EE4A5661D82C50E5">
    <w:name w:val="116EBBD5A99E4E519EE4A5661D82C50E5"/>
    <w:rsid w:val="003E1A82"/>
    <w:pPr>
      <w:bidi/>
      <w:spacing w:after="0" w:line="240" w:lineRule="auto"/>
    </w:pPr>
    <w:rPr>
      <w:rFonts w:ascii="Times New Roman" w:eastAsia="Times New Roman" w:hAnsi="Times New Roman" w:cs="David"/>
      <w:noProof/>
      <w:sz w:val="24"/>
      <w:szCs w:val="24"/>
    </w:rPr>
  </w:style>
  <w:style w:type="paragraph" w:customStyle="1" w:styleId="E6E6A917CC5E4519A8F2E864C48E22F25">
    <w:name w:val="E6E6A917CC5E4519A8F2E864C48E22F25"/>
    <w:rsid w:val="003E1A82"/>
    <w:pPr>
      <w:bidi/>
      <w:spacing w:after="0" w:line="240" w:lineRule="auto"/>
    </w:pPr>
    <w:rPr>
      <w:rFonts w:ascii="Times New Roman" w:eastAsia="Times New Roman" w:hAnsi="Times New Roman" w:cs="David"/>
      <w:noProof/>
      <w:sz w:val="24"/>
      <w:szCs w:val="24"/>
    </w:rPr>
  </w:style>
  <w:style w:type="paragraph" w:customStyle="1" w:styleId="9DC4FF55E52B4E209349FC40470DD4185">
    <w:name w:val="9DC4FF55E52B4E209349FC40470DD4185"/>
    <w:rsid w:val="003E1A82"/>
    <w:pPr>
      <w:bidi/>
      <w:spacing w:after="0" w:line="240" w:lineRule="auto"/>
    </w:pPr>
    <w:rPr>
      <w:rFonts w:ascii="Times New Roman" w:eastAsia="Times New Roman" w:hAnsi="Times New Roman" w:cs="David"/>
      <w:noProof/>
      <w:sz w:val="24"/>
      <w:szCs w:val="24"/>
    </w:rPr>
  </w:style>
  <w:style w:type="paragraph" w:customStyle="1" w:styleId="112E7BE5CCF64A68A3D497F283A4D6955">
    <w:name w:val="112E7BE5CCF64A68A3D497F283A4D6955"/>
    <w:rsid w:val="003E1A82"/>
    <w:pPr>
      <w:bidi/>
      <w:spacing w:after="0" w:line="240" w:lineRule="auto"/>
    </w:pPr>
    <w:rPr>
      <w:rFonts w:ascii="Times New Roman" w:eastAsia="Times New Roman" w:hAnsi="Times New Roman" w:cs="David"/>
      <w:noProof/>
      <w:sz w:val="24"/>
      <w:szCs w:val="24"/>
    </w:rPr>
  </w:style>
  <w:style w:type="paragraph" w:customStyle="1" w:styleId="ECC435E5782A4F3FB39457279E24BE883">
    <w:name w:val="ECC435E5782A4F3FB39457279E24BE883"/>
    <w:rsid w:val="003E1A82"/>
    <w:pPr>
      <w:bidi/>
      <w:spacing w:after="0" w:line="240" w:lineRule="auto"/>
    </w:pPr>
    <w:rPr>
      <w:rFonts w:ascii="Times New Roman" w:eastAsia="Times New Roman" w:hAnsi="Times New Roman" w:cs="David"/>
      <w:noProof/>
      <w:sz w:val="24"/>
      <w:szCs w:val="24"/>
    </w:rPr>
  </w:style>
  <w:style w:type="paragraph" w:customStyle="1" w:styleId="E460D38E05664FF79D4EFF282EF8EC9917">
    <w:name w:val="E460D38E05664FF79D4EFF282EF8EC9917"/>
    <w:rsid w:val="003E1A82"/>
    <w:pPr>
      <w:bidi/>
      <w:spacing w:after="0" w:line="240" w:lineRule="auto"/>
    </w:pPr>
    <w:rPr>
      <w:rFonts w:ascii="Times New Roman" w:eastAsia="Times New Roman" w:hAnsi="Times New Roman" w:cs="David"/>
      <w:noProof/>
      <w:sz w:val="24"/>
      <w:szCs w:val="24"/>
    </w:rPr>
  </w:style>
  <w:style w:type="paragraph" w:customStyle="1" w:styleId="D290653DA13E4E738B7E725F79D7332910">
    <w:name w:val="D290653DA13E4E738B7E725F79D7332910"/>
    <w:rsid w:val="003E1A82"/>
    <w:pPr>
      <w:bidi/>
      <w:spacing w:after="0" w:line="240" w:lineRule="auto"/>
    </w:pPr>
    <w:rPr>
      <w:rFonts w:ascii="Times New Roman" w:eastAsia="Times New Roman" w:hAnsi="Times New Roman" w:cs="David"/>
      <w:noProof/>
      <w:sz w:val="24"/>
      <w:szCs w:val="24"/>
    </w:rPr>
  </w:style>
  <w:style w:type="paragraph" w:customStyle="1" w:styleId="116EBBD5A99E4E519EE4A5661D82C50E6">
    <w:name w:val="116EBBD5A99E4E519EE4A5661D82C50E6"/>
    <w:rsid w:val="003E1A82"/>
    <w:pPr>
      <w:bidi/>
      <w:spacing w:after="0" w:line="240" w:lineRule="auto"/>
    </w:pPr>
    <w:rPr>
      <w:rFonts w:ascii="Times New Roman" w:eastAsia="Times New Roman" w:hAnsi="Times New Roman" w:cs="David"/>
      <w:noProof/>
      <w:sz w:val="24"/>
      <w:szCs w:val="24"/>
    </w:rPr>
  </w:style>
  <w:style w:type="paragraph" w:customStyle="1" w:styleId="E6E6A917CC5E4519A8F2E864C48E22F26">
    <w:name w:val="E6E6A917CC5E4519A8F2E864C48E22F26"/>
    <w:rsid w:val="003E1A82"/>
    <w:pPr>
      <w:bidi/>
      <w:spacing w:after="0" w:line="240" w:lineRule="auto"/>
    </w:pPr>
    <w:rPr>
      <w:rFonts w:ascii="Times New Roman" w:eastAsia="Times New Roman" w:hAnsi="Times New Roman" w:cs="David"/>
      <w:noProof/>
      <w:sz w:val="24"/>
      <w:szCs w:val="24"/>
    </w:rPr>
  </w:style>
  <w:style w:type="paragraph" w:customStyle="1" w:styleId="9DC4FF55E52B4E209349FC40470DD4186">
    <w:name w:val="9DC4FF55E52B4E209349FC40470DD4186"/>
    <w:rsid w:val="003E1A82"/>
    <w:pPr>
      <w:bidi/>
      <w:spacing w:after="0" w:line="240" w:lineRule="auto"/>
    </w:pPr>
    <w:rPr>
      <w:rFonts w:ascii="Times New Roman" w:eastAsia="Times New Roman" w:hAnsi="Times New Roman" w:cs="David"/>
      <w:noProof/>
      <w:sz w:val="24"/>
      <w:szCs w:val="24"/>
    </w:rPr>
  </w:style>
  <w:style w:type="paragraph" w:customStyle="1" w:styleId="112E7BE5CCF64A68A3D497F283A4D6956">
    <w:name w:val="112E7BE5CCF64A68A3D497F283A4D6956"/>
    <w:rsid w:val="003E1A82"/>
    <w:pPr>
      <w:bidi/>
      <w:spacing w:after="0" w:line="240" w:lineRule="auto"/>
    </w:pPr>
    <w:rPr>
      <w:rFonts w:ascii="Times New Roman" w:eastAsia="Times New Roman" w:hAnsi="Times New Roman" w:cs="David"/>
      <w:noProof/>
      <w:sz w:val="24"/>
      <w:szCs w:val="24"/>
    </w:rPr>
  </w:style>
  <w:style w:type="paragraph" w:customStyle="1" w:styleId="ECC435E5782A4F3FB39457279E24BE884">
    <w:name w:val="ECC435E5782A4F3FB39457279E24BE884"/>
    <w:rsid w:val="003E1A82"/>
    <w:pPr>
      <w:bidi/>
      <w:spacing w:after="0" w:line="240" w:lineRule="auto"/>
    </w:pPr>
    <w:rPr>
      <w:rFonts w:ascii="Times New Roman" w:eastAsia="Times New Roman" w:hAnsi="Times New Roman" w:cs="David"/>
      <w:noProof/>
      <w:sz w:val="24"/>
      <w:szCs w:val="24"/>
    </w:rPr>
  </w:style>
  <w:style w:type="paragraph" w:customStyle="1" w:styleId="E460D38E05664FF79D4EFF282EF8EC9918">
    <w:name w:val="E460D38E05664FF79D4EFF282EF8EC9918"/>
    <w:rsid w:val="003E1A82"/>
    <w:pPr>
      <w:bidi/>
      <w:spacing w:after="0" w:line="240" w:lineRule="auto"/>
    </w:pPr>
    <w:rPr>
      <w:rFonts w:ascii="Times New Roman" w:eastAsia="Times New Roman" w:hAnsi="Times New Roman" w:cs="David"/>
      <w:noProof/>
      <w:sz w:val="24"/>
      <w:szCs w:val="24"/>
    </w:rPr>
  </w:style>
  <w:style w:type="paragraph" w:customStyle="1" w:styleId="116EBBD5A99E4E519EE4A5661D82C50E7">
    <w:name w:val="116EBBD5A99E4E519EE4A5661D82C50E7"/>
    <w:rsid w:val="009E240F"/>
    <w:pPr>
      <w:bidi/>
      <w:spacing w:after="0" w:line="240" w:lineRule="auto"/>
    </w:pPr>
    <w:rPr>
      <w:rFonts w:ascii="Times New Roman" w:eastAsia="Times New Roman" w:hAnsi="Times New Roman" w:cs="David"/>
      <w:noProof/>
      <w:sz w:val="24"/>
      <w:szCs w:val="24"/>
    </w:rPr>
  </w:style>
  <w:style w:type="paragraph" w:customStyle="1" w:styleId="E6E6A917CC5E4519A8F2E864C48E22F27">
    <w:name w:val="E6E6A917CC5E4519A8F2E864C48E22F27"/>
    <w:rsid w:val="009E240F"/>
    <w:pPr>
      <w:bidi/>
      <w:spacing w:after="0" w:line="240" w:lineRule="auto"/>
    </w:pPr>
    <w:rPr>
      <w:rFonts w:ascii="Times New Roman" w:eastAsia="Times New Roman" w:hAnsi="Times New Roman" w:cs="David"/>
      <w:noProof/>
      <w:sz w:val="24"/>
      <w:szCs w:val="24"/>
    </w:rPr>
  </w:style>
  <w:style w:type="paragraph" w:customStyle="1" w:styleId="9DC4FF55E52B4E209349FC40470DD4187">
    <w:name w:val="9DC4FF55E52B4E209349FC40470DD4187"/>
    <w:rsid w:val="009E240F"/>
    <w:pPr>
      <w:bidi/>
      <w:spacing w:after="0" w:line="240" w:lineRule="auto"/>
    </w:pPr>
    <w:rPr>
      <w:rFonts w:ascii="Times New Roman" w:eastAsia="Times New Roman" w:hAnsi="Times New Roman" w:cs="David"/>
      <w:noProof/>
      <w:sz w:val="24"/>
      <w:szCs w:val="24"/>
    </w:rPr>
  </w:style>
  <w:style w:type="paragraph" w:customStyle="1" w:styleId="112E7BE5CCF64A68A3D497F283A4D6957">
    <w:name w:val="112E7BE5CCF64A68A3D497F283A4D6957"/>
    <w:rsid w:val="009E240F"/>
    <w:pPr>
      <w:bidi/>
      <w:spacing w:after="0" w:line="240" w:lineRule="auto"/>
    </w:pPr>
    <w:rPr>
      <w:rFonts w:ascii="Times New Roman" w:eastAsia="Times New Roman" w:hAnsi="Times New Roman" w:cs="David"/>
      <w:noProof/>
      <w:sz w:val="24"/>
      <w:szCs w:val="24"/>
    </w:rPr>
  </w:style>
  <w:style w:type="paragraph" w:customStyle="1" w:styleId="ECC435E5782A4F3FB39457279E24BE885">
    <w:name w:val="ECC435E5782A4F3FB39457279E24BE885"/>
    <w:rsid w:val="009E240F"/>
    <w:pPr>
      <w:bidi/>
      <w:spacing w:after="0" w:line="240" w:lineRule="auto"/>
    </w:pPr>
    <w:rPr>
      <w:rFonts w:ascii="Times New Roman" w:eastAsia="Times New Roman" w:hAnsi="Times New Roman" w:cs="David"/>
      <w:noProof/>
      <w:sz w:val="24"/>
      <w:szCs w:val="24"/>
    </w:rPr>
  </w:style>
  <w:style w:type="paragraph" w:customStyle="1" w:styleId="E460D38E05664FF79D4EFF282EF8EC9919">
    <w:name w:val="E460D38E05664FF79D4EFF282EF8EC9919"/>
    <w:rsid w:val="009E240F"/>
    <w:pPr>
      <w:bidi/>
      <w:spacing w:after="0" w:line="240" w:lineRule="auto"/>
    </w:pPr>
    <w:rPr>
      <w:rFonts w:ascii="Times New Roman" w:eastAsia="Times New Roman" w:hAnsi="Times New Roman" w:cs="David"/>
      <w:noProof/>
      <w:sz w:val="24"/>
      <w:szCs w:val="24"/>
    </w:rPr>
  </w:style>
  <w:style w:type="paragraph" w:customStyle="1" w:styleId="116EBBD5A99E4E519EE4A5661D82C50E8">
    <w:name w:val="116EBBD5A99E4E519EE4A5661D82C50E8"/>
    <w:rsid w:val="009E240F"/>
    <w:pPr>
      <w:bidi/>
      <w:spacing w:after="0" w:line="240" w:lineRule="auto"/>
    </w:pPr>
    <w:rPr>
      <w:rFonts w:ascii="Times New Roman" w:eastAsia="Times New Roman" w:hAnsi="Times New Roman" w:cs="David"/>
      <w:noProof/>
      <w:sz w:val="24"/>
      <w:szCs w:val="24"/>
    </w:rPr>
  </w:style>
  <w:style w:type="paragraph" w:customStyle="1" w:styleId="E6E6A917CC5E4519A8F2E864C48E22F28">
    <w:name w:val="E6E6A917CC5E4519A8F2E864C48E22F28"/>
    <w:rsid w:val="009E240F"/>
    <w:pPr>
      <w:bidi/>
      <w:spacing w:after="0" w:line="240" w:lineRule="auto"/>
    </w:pPr>
    <w:rPr>
      <w:rFonts w:ascii="Times New Roman" w:eastAsia="Times New Roman" w:hAnsi="Times New Roman" w:cs="David"/>
      <w:noProof/>
      <w:sz w:val="24"/>
      <w:szCs w:val="24"/>
    </w:rPr>
  </w:style>
  <w:style w:type="paragraph" w:customStyle="1" w:styleId="9DC4FF55E52B4E209349FC40470DD4188">
    <w:name w:val="9DC4FF55E52B4E209349FC40470DD4188"/>
    <w:rsid w:val="009E240F"/>
    <w:pPr>
      <w:bidi/>
      <w:spacing w:after="0" w:line="240" w:lineRule="auto"/>
    </w:pPr>
    <w:rPr>
      <w:rFonts w:ascii="Times New Roman" w:eastAsia="Times New Roman" w:hAnsi="Times New Roman" w:cs="David"/>
      <w:noProof/>
      <w:sz w:val="24"/>
      <w:szCs w:val="24"/>
    </w:rPr>
  </w:style>
  <w:style w:type="paragraph" w:customStyle="1" w:styleId="112E7BE5CCF64A68A3D497F283A4D6958">
    <w:name w:val="112E7BE5CCF64A68A3D497F283A4D6958"/>
    <w:rsid w:val="009E240F"/>
    <w:pPr>
      <w:bidi/>
      <w:spacing w:after="0" w:line="240" w:lineRule="auto"/>
    </w:pPr>
    <w:rPr>
      <w:rFonts w:ascii="Times New Roman" w:eastAsia="Times New Roman" w:hAnsi="Times New Roman" w:cs="David"/>
      <w:noProof/>
      <w:sz w:val="24"/>
      <w:szCs w:val="24"/>
    </w:rPr>
  </w:style>
  <w:style w:type="paragraph" w:customStyle="1" w:styleId="ECC435E5782A4F3FB39457279E24BE886">
    <w:name w:val="ECC435E5782A4F3FB39457279E24BE886"/>
    <w:rsid w:val="009E240F"/>
    <w:pPr>
      <w:bidi/>
      <w:spacing w:after="0" w:line="240" w:lineRule="auto"/>
    </w:pPr>
    <w:rPr>
      <w:rFonts w:ascii="Times New Roman" w:eastAsia="Times New Roman" w:hAnsi="Times New Roman" w:cs="David"/>
      <w:noProof/>
      <w:sz w:val="24"/>
      <w:szCs w:val="24"/>
    </w:rPr>
  </w:style>
  <w:style w:type="paragraph" w:customStyle="1" w:styleId="E460D38E05664FF79D4EFF282EF8EC9920">
    <w:name w:val="E460D38E05664FF79D4EFF282EF8EC9920"/>
    <w:rsid w:val="009E240F"/>
    <w:pPr>
      <w:bidi/>
      <w:spacing w:after="0" w:line="240" w:lineRule="auto"/>
    </w:pPr>
    <w:rPr>
      <w:rFonts w:ascii="Times New Roman" w:eastAsia="Times New Roman" w:hAnsi="Times New Roman" w:cs="David"/>
      <w:noProof/>
      <w:sz w:val="24"/>
      <w:szCs w:val="24"/>
    </w:rPr>
  </w:style>
  <w:style w:type="paragraph" w:customStyle="1" w:styleId="116EBBD5A99E4E519EE4A5661D82C50E9">
    <w:name w:val="116EBBD5A99E4E519EE4A5661D82C50E9"/>
    <w:rsid w:val="009E240F"/>
    <w:pPr>
      <w:bidi/>
      <w:spacing w:after="0" w:line="240" w:lineRule="auto"/>
    </w:pPr>
    <w:rPr>
      <w:rFonts w:ascii="Times New Roman" w:eastAsia="Times New Roman" w:hAnsi="Times New Roman" w:cs="David"/>
      <w:noProof/>
      <w:sz w:val="24"/>
      <w:szCs w:val="24"/>
    </w:rPr>
  </w:style>
  <w:style w:type="paragraph" w:customStyle="1" w:styleId="E6E6A917CC5E4519A8F2E864C48E22F29">
    <w:name w:val="E6E6A917CC5E4519A8F2E864C48E22F29"/>
    <w:rsid w:val="009E240F"/>
    <w:pPr>
      <w:bidi/>
      <w:spacing w:after="0" w:line="240" w:lineRule="auto"/>
    </w:pPr>
    <w:rPr>
      <w:rFonts w:ascii="Times New Roman" w:eastAsia="Times New Roman" w:hAnsi="Times New Roman" w:cs="David"/>
      <w:noProof/>
      <w:sz w:val="24"/>
      <w:szCs w:val="24"/>
    </w:rPr>
  </w:style>
  <w:style w:type="paragraph" w:customStyle="1" w:styleId="9DC4FF55E52B4E209349FC40470DD4189">
    <w:name w:val="9DC4FF55E52B4E209349FC40470DD4189"/>
    <w:rsid w:val="009E240F"/>
    <w:pPr>
      <w:bidi/>
      <w:spacing w:after="0" w:line="240" w:lineRule="auto"/>
    </w:pPr>
    <w:rPr>
      <w:rFonts w:ascii="Times New Roman" w:eastAsia="Times New Roman" w:hAnsi="Times New Roman" w:cs="David"/>
      <w:noProof/>
      <w:sz w:val="24"/>
      <w:szCs w:val="24"/>
    </w:rPr>
  </w:style>
  <w:style w:type="paragraph" w:customStyle="1" w:styleId="112E7BE5CCF64A68A3D497F283A4D6959">
    <w:name w:val="112E7BE5CCF64A68A3D497F283A4D6959"/>
    <w:rsid w:val="009E240F"/>
    <w:pPr>
      <w:bidi/>
      <w:spacing w:after="0" w:line="240" w:lineRule="auto"/>
    </w:pPr>
    <w:rPr>
      <w:rFonts w:ascii="Times New Roman" w:eastAsia="Times New Roman" w:hAnsi="Times New Roman" w:cs="David"/>
      <w:noProof/>
      <w:sz w:val="24"/>
      <w:szCs w:val="24"/>
    </w:rPr>
  </w:style>
  <w:style w:type="paragraph" w:customStyle="1" w:styleId="ECC435E5782A4F3FB39457279E24BE887">
    <w:name w:val="ECC435E5782A4F3FB39457279E24BE887"/>
    <w:rsid w:val="009E240F"/>
    <w:pPr>
      <w:bidi/>
      <w:spacing w:after="0" w:line="240" w:lineRule="auto"/>
    </w:pPr>
    <w:rPr>
      <w:rFonts w:ascii="Times New Roman" w:eastAsia="Times New Roman" w:hAnsi="Times New Roman" w:cs="David"/>
      <w:noProof/>
      <w:sz w:val="24"/>
      <w:szCs w:val="24"/>
    </w:rPr>
  </w:style>
  <w:style w:type="paragraph" w:customStyle="1" w:styleId="E460D38E05664FF79D4EFF282EF8EC9921">
    <w:name w:val="E460D38E05664FF79D4EFF282EF8EC9921"/>
    <w:rsid w:val="009E240F"/>
    <w:pPr>
      <w:bidi/>
      <w:spacing w:after="0" w:line="240" w:lineRule="auto"/>
    </w:pPr>
    <w:rPr>
      <w:rFonts w:ascii="Times New Roman" w:eastAsia="Times New Roman" w:hAnsi="Times New Roman" w:cs="David"/>
      <w:noProof/>
      <w:sz w:val="24"/>
      <w:szCs w:val="24"/>
    </w:rPr>
  </w:style>
  <w:style w:type="paragraph" w:customStyle="1" w:styleId="116EBBD5A99E4E519EE4A5661D82C50E10">
    <w:name w:val="116EBBD5A99E4E519EE4A5661D82C50E10"/>
    <w:rsid w:val="009E240F"/>
    <w:pPr>
      <w:bidi/>
      <w:spacing w:after="0" w:line="240" w:lineRule="auto"/>
    </w:pPr>
    <w:rPr>
      <w:rFonts w:ascii="Times New Roman" w:eastAsia="Times New Roman" w:hAnsi="Times New Roman" w:cs="David"/>
      <w:noProof/>
      <w:sz w:val="24"/>
      <w:szCs w:val="24"/>
    </w:rPr>
  </w:style>
  <w:style w:type="paragraph" w:customStyle="1" w:styleId="E6E6A917CC5E4519A8F2E864C48E22F210">
    <w:name w:val="E6E6A917CC5E4519A8F2E864C48E22F210"/>
    <w:rsid w:val="009E240F"/>
    <w:pPr>
      <w:bidi/>
      <w:spacing w:after="0" w:line="240" w:lineRule="auto"/>
    </w:pPr>
    <w:rPr>
      <w:rFonts w:ascii="Times New Roman" w:eastAsia="Times New Roman" w:hAnsi="Times New Roman" w:cs="David"/>
      <w:noProof/>
      <w:sz w:val="24"/>
      <w:szCs w:val="24"/>
    </w:rPr>
  </w:style>
  <w:style w:type="paragraph" w:customStyle="1" w:styleId="9DC4FF55E52B4E209349FC40470DD41810">
    <w:name w:val="9DC4FF55E52B4E209349FC40470DD41810"/>
    <w:rsid w:val="009E240F"/>
    <w:pPr>
      <w:bidi/>
      <w:spacing w:after="0" w:line="240" w:lineRule="auto"/>
    </w:pPr>
    <w:rPr>
      <w:rFonts w:ascii="Times New Roman" w:eastAsia="Times New Roman" w:hAnsi="Times New Roman" w:cs="David"/>
      <w:noProof/>
      <w:sz w:val="24"/>
      <w:szCs w:val="24"/>
    </w:rPr>
  </w:style>
  <w:style w:type="paragraph" w:customStyle="1" w:styleId="112E7BE5CCF64A68A3D497F283A4D69510">
    <w:name w:val="112E7BE5CCF64A68A3D497F283A4D69510"/>
    <w:rsid w:val="009E240F"/>
    <w:pPr>
      <w:bidi/>
      <w:spacing w:after="0" w:line="240" w:lineRule="auto"/>
    </w:pPr>
    <w:rPr>
      <w:rFonts w:ascii="Times New Roman" w:eastAsia="Times New Roman" w:hAnsi="Times New Roman" w:cs="David"/>
      <w:noProof/>
      <w:sz w:val="24"/>
      <w:szCs w:val="24"/>
    </w:rPr>
  </w:style>
  <w:style w:type="paragraph" w:customStyle="1" w:styleId="ECC435E5782A4F3FB39457279E24BE888">
    <w:name w:val="ECC435E5782A4F3FB39457279E24BE888"/>
    <w:rsid w:val="009E240F"/>
    <w:pPr>
      <w:bidi/>
      <w:spacing w:after="0" w:line="240" w:lineRule="auto"/>
    </w:pPr>
    <w:rPr>
      <w:rFonts w:ascii="Times New Roman" w:eastAsia="Times New Roman" w:hAnsi="Times New Roman" w:cs="David"/>
      <w:noProof/>
      <w:sz w:val="24"/>
      <w:szCs w:val="24"/>
    </w:rPr>
  </w:style>
  <w:style w:type="paragraph" w:customStyle="1" w:styleId="E460D38E05664FF79D4EFF282EF8EC9922">
    <w:name w:val="E460D38E05664FF79D4EFF282EF8EC9922"/>
    <w:rsid w:val="009E240F"/>
    <w:pPr>
      <w:bidi/>
      <w:spacing w:after="0" w:line="240" w:lineRule="auto"/>
    </w:pPr>
    <w:rPr>
      <w:rFonts w:ascii="Times New Roman" w:eastAsia="Times New Roman" w:hAnsi="Times New Roman" w:cs="David"/>
      <w:noProof/>
      <w:sz w:val="24"/>
      <w:szCs w:val="24"/>
    </w:rPr>
  </w:style>
  <w:style w:type="paragraph" w:customStyle="1" w:styleId="116EBBD5A99E4E519EE4A5661D82C50E11">
    <w:name w:val="116EBBD5A99E4E519EE4A5661D82C50E11"/>
    <w:rsid w:val="009E240F"/>
    <w:pPr>
      <w:bidi/>
      <w:spacing w:after="0" w:line="240" w:lineRule="auto"/>
    </w:pPr>
    <w:rPr>
      <w:rFonts w:ascii="Times New Roman" w:eastAsia="Times New Roman" w:hAnsi="Times New Roman" w:cs="David"/>
      <w:noProof/>
      <w:sz w:val="24"/>
      <w:szCs w:val="24"/>
    </w:rPr>
  </w:style>
  <w:style w:type="paragraph" w:customStyle="1" w:styleId="E6E6A917CC5E4519A8F2E864C48E22F211">
    <w:name w:val="E6E6A917CC5E4519A8F2E864C48E22F211"/>
    <w:rsid w:val="009E240F"/>
    <w:pPr>
      <w:bidi/>
      <w:spacing w:after="0" w:line="240" w:lineRule="auto"/>
    </w:pPr>
    <w:rPr>
      <w:rFonts w:ascii="Times New Roman" w:eastAsia="Times New Roman" w:hAnsi="Times New Roman" w:cs="David"/>
      <w:noProof/>
      <w:sz w:val="24"/>
      <w:szCs w:val="24"/>
    </w:rPr>
  </w:style>
  <w:style w:type="paragraph" w:customStyle="1" w:styleId="9DC4FF55E52B4E209349FC40470DD41811">
    <w:name w:val="9DC4FF55E52B4E209349FC40470DD41811"/>
    <w:rsid w:val="009E240F"/>
    <w:pPr>
      <w:bidi/>
      <w:spacing w:after="0" w:line="240" w:lineRule="auto"/>
    </w:pPr>
    <w:rPr>
      <w:rFonts w:ascii="Times New Roman" w:eastAsia="Times New Roman" w:hAnsi="Times New Roman" w:cs="David"/>
      <w:noProof/>
      <w:sz w:val="24"/>
      <w:szCs w:val="24"/>
    </w:rPr>
  </w:style>
  <w:style w:type="paragraph" w:customStyle="1" w:styleId="112E7BE5CCF64A68A3D497F283A4D69511">
    <w:name w:val="112E7BE5CCF64A68A3D497F283A4D69511"/>
    <w:rsid w:val="009E240F"/>
    <w:pPr>
      <w:bidi/>
      <w:spacing w:after="0" w:line="240" w:lineRule="auto"/>
    </w:pPr>
    <w:rPr>
      <w:rFonts w:ascii="Times New Roman" w:eastAsia="Times New Roman" w:hAnsi="Times New Roman" w:cs="David"/>
      <w:noProof/>
      <w:sz w:val="24"/>
      <w:szCs w:val="24"/>
    </w:rPr>
  </w:style>
  <w:style w:type="paragraph" w:customStyle="1" w:styleId="ECC435E5782A4F3FB39457279E24BE889">
    <w:name w:val="ECC435E5782A4F3FB39457279E24BE889"/>
    <w:rsid w:val="009E240F"/>
    <w:pPr>
      <w:bidi/>
      <w:spacing w:after="0" w:line="240" w:lineRule="auto"/>
    </w:pPr>
    <w:rPr>
      <w:rFonts w:ascii="Times New Roman" w:eastAsia="Times New Roman" w:hAnsi="Times New Roman" w:cs="David"/>
      <w:noProof/>
      <w:sz w:val="24"/>
      <w:szCs w:val="24"/>
    </w:rPr>
  </w:style>
  <w:style w:type="paragraph" w:customStyle="1" w:styleId="E460D38E05664FF79D4EFF282EF8EC9923">
    <w:name w:val="E460D38E05664FF79D4EFF282EF8EC9923"/>
    <w:rsid w:val="009E240F"/>
    <w:pPr>
      <w:bidi/>
      <w:spacing w:after="0" w:line="240" w:lineRule="auto"/>
    </w:pPr>
    <w:rPr>
      <w:rFonts w:ascii="Times New Roman" w:eastAsia="Times New Roman" w:hAnsi="Times New Roman" w:cs="David"/>
      <w:noProof/>
      <w:sz w:val="24"/>
      <w:szCs w:val="24"/>
    </w:rPr>
  </w:style>
  <w:style w:type="paragraph" w:customStyle="1" w:styleId="116EBBD5A99E4E519EE4A5661D82C50E12">
    <w:name w:val="116EBBD5A99E4E519EE4A5661D82C50E12"/>
    <w:rsid w:val="009E240F"/>
    <w:pPr>
      <w:bidi/>
      <w:spacing w:after="0" w:line="240" w:lineRule="auto"/>
    </w:pPr>
    <w:rPr>
      <w:rFonts w:ascii="Times New Roman" w:eastAsia="Times New Roman" w:hAnsi="Times New Roman" w:cs="David"/>
      <w:noProof/>
      <w:sz w:val="24"/>
      <w:szCs w:val="24"/>
    </w:rPr>
  </w:style>
  <w:style w:type="paragraph" w:customStyle="1" w:styleId="E6E6A917CC5E4519A8F2E864C48E22F212">
    <w:name w:val="E6E6A917CC5E4519A8F2E864C48E22F212"/>
    <w:rsid w:val="009E240F"/>
    <w:pPr>
      <w:bidi/>
      <w:spacing w:after="0" w:line="240" w:lineRule="auto"/>
    </w:pPr>
    <w:rPr>
      <w:rFonts w:ascii="Times New Roman" w:eastAsia="Times New Roman" w:hAnsi="Times New Roman" w:cs="David"/>
      <w:noProof/>
      <w:sz w:val="24"/>
      <w:szCs w:val="24"/>
    </w:rPr>
  </w:style>
  <w:style w:type="paragraph" w:customStyle="1" w:styleId="9DC4FF55E52B4E209349FC40470DD41812">
    <w:name w:val="9DC4FF55E52B4E209349FC40470DD41812"/>
    <w:rsid w:val="009E240F"/>
    <w:pPr>
      <w:bidi/>
      <w:spacing w:after="0" w:line="240" w:lineRule="auto"/>
    </w:pPr>
    <w:rPr>
      <w:rFonts w:ascii="Times New Roman" w:eastAsia="Times New Roman" w:hAnsi="Times New Roman" w:cs="David"/>
      <w:noProof/>
      <w:sz w:val="24"/>
      <w:szCs w:val="24"/>
    </w:rPr>
  </w:style>
  <w:style w:type="paragraph" w:customStyle="1" w:styleId="112E7BE5CCF64A68A3D497F283A4D69512">
    <w:name w:val="112E7BE5CCF64A68A3D497F283A4D69512"/>
    <w:rsid w:val="009E240F"/>
    <w:pPr>
      <w:bidi/>
      <w:spacing w:after="0" w:line="240" w:lineRule="auto"/>
    </w:pPr>
    <w:rPr>
      <w:rFonts w:ascii="Times New Roman" w:eastAsia="Times New Roman" w:hAnsi="Times New Roman" w:cs="David"/>
      <w:noProof/>
      <w:sz w:val="24"/>
      <w:szCs w:val="24"/>
    </w:rPr>
  </w:style>
  <w:style w:type="paragraph" w:customStyle="1" w:styleId="ECC435E5782A4F3FB39457279E24BE8810">
    <w:name w:val="ECC435E5782A4F3FB39457279E24BE8810"/>
    <w:rsid w:val="009E240F"/>
    <w:pPr>
      <w:bidi/>
      <w:spacing w:after="0" w:line="240" w:lineRule="auto"/>
    </w:pPr>
    <w:rPr>
      <w:rFonts w:ascii="Times New Roman" w:eastAsia="Times New Roman" w:hAnsi="Times New Roman" w:cs="David"/>
      <w:noProof/>
      <w:sz w:val="24"/>
      <w:szCs w:val="24"/>
    </w:rPr>
  </w:style>
  <w:style w:type="paragraph" w:customStyle="1" w:styleId="E460D38E05664FF79D4EFF282EF8EC9924">
    <w:name w:val="E460D38E05664FF79D4EFF282EF8EC9924"/>
    <w:rsid w:val="009E240F"/>
    <w:pPr>
      <w:bidi/>
      <w:spacing w:after="0" w:line="240" w:lineRule="auto"/>
    </w:pPr>
    <w:rPr>
      <w:rFonts w:ascii="Times New Roman" w:eastAsia="Times New Roman" w:hAnsi="Times New Roman" w:cs="David"/>
      <w:noProof/>
      <w:sz w:val="24"/>
      <w:szCs w:val="24"/>
    </w:rPr>
  </w:style>
  <w:style w:type="paragraph" w:customStyle="1" w:styleId="116EBBD5A99E4E519EE4A5661D82C50E13">
    <w:name w:val="116EBBD5A99E4E519EE4A5661D82C50E13"/>
    <w:rsid w:val="009E240F"/>
    <w:pPr>
      <w:bidi/>
      <w:spacing w:after="0" w:line="240" w:lineRule="auto"/>
    </w:pPr>
    <w:rPr>
      <w:rFonts w:ascii="Times New Roman" w:eastAsia="Times New Roman" w:hAnsi="Times New Roman" w:cs="David"/>
      <w:noProof/>
      <w:sz w:val="24"/>
      <w:szCs w:val="24"/>
    </w:rPr>
  </w:style>
  <w:style w:type="paragraph" w:customStyle="1" w:styleId="E6E6A917CC5E4519A8F2E864C48E22F213">
    <w:name w:val="E6E6A917CC5E4519A8F2E864C48E22F213"/>
    <w:rsid w:val="009E240F"/>
    <w:pPr>
      <w:bidi/>
      <w:spacing w:after="0" w:line="240" w:lineRule="auto"/>
    </w:pPr>
    <w:rPr>
      <w:rFonts w:ascii="Times New Roman" w:eastAsia="Times New Roman" w:hAnsi="Times New Roman" w:cs="David"/>
      <w:noProof/>
      <w:sz w:val="24"/>
      <w:szCs w:val="24"/>
    </w:rPr>
  </w:style>
  <w:style w:type="paragraph" w:customStyle="1" w:styleId="9DC4FF55E52B4E209349FC40470DD41813">
    <w:name w:val="9DC4FF55E52B4E209349FC40470DD41813"/>
    <w:rsid w:val="009E240F"/>
    <w:pPr>
      <w:bidi/>
      <w:spacing w:after="0" w:line="240" w:lineRule="auto"/>
    </w:pPr>
    <w:rPr>
      <w:rFonts w:ascii="Times New Roman" w:eastAsia="Times New Roman" w:hAnsi="Times New Roman" w:cs="David"/>
      <w:noProof/>
      <w:sz w:val="24"/>
      <w:szCs w:val="24"/>
    </w:rPr>
  </w:style>
  <w:style w:type="paragraph" w:customStyle="1" w:styleId="112E7BE5CCF64A68A3D497F283A4D69513">
    <w:name w:val="112E7BE5CCF64A68A3D497F283A4D69513"/>
    <w:rsid w:val="009E240F"/>
    <w:pPr>
      <w:bidi/>
      <w:spacing w:after="0" w:line="240" w:lineRule="auto"/>
    </w:pPr>
    <w:rPr>
      <w:rFonts w:ascii="Times New Roman" w:eastAsia="Times New Roman" w:hAnsi="Times New Roman" w:cs="David"/>
      <w:noProof/>
      <w:sz w:val="24"/>
      <w:szCs w:val="24"/>
    </w:rPr>
  </w:style>
  <w:style w:type="paragraph" w:customStyle="1" w:styleId="ECC435E5782A4F3FB39457279E24BE8811">
    <w:name w:val="ECC435E5782A4F3FB39457279E24BE8811"/>
    <w:rsid w:val="009E240F"/>
    <w:pPr>
      <w:bidi/>
      <w:spacing w:after="0" w:line="240" w:lineRule="auto"/>
    </w:pPr>
    <w:rPr>
      <w:rFonts w:ascii="Times New Roman" w:eastAsia="Times New Roman" w:hAnsi="Times New Roman" w:cs="David"/>
      <w:noProof/>
      <w:sz w:val="24"/>
      <w:szCs w:val="24"/>
    </w:rPr>
  </w:style>
  <w:style w:type="paragraph" w:customStyle="1" w:styleId="E460D38E05664FF79D4EFF282EF8EC9925">
    <w:name w:val="E460D38E05664FF79D4EFF282EF8EC9925"/>
    <w:rsid w:val="009E240F"/>
    <w:pPr>
      <w:bidi/>
      <w:spacing w:after="0" w:line="240" w:lineRule="auto"/>
    </w:pPr>
    <w:rPr>
      <w:rFonts w:ascii="Times New Roman" w:eastAsia="Times New Roman" w:hAnsi="Times New Roman" w:cs="David"/>
      <w:noProof/>
      <w:sz w:val="24"/>
      <w:szCs w:val="24"/>
    </w:rPr>
  </w:style>
  <w:style w:type="paragraph" w:customStyle="1" w:styleId="116EBBD5A99E4E519EE4A5661D82C50E14">
    <w:name w:val="116EBBD5A99E4E519EE4A5661D82C50E14"/>
    <w:rsid w:val="00243834"/>
    <w:pPr>
      <w:bidi/>
      <w:spacing w:after="0" w:line="240" w:lineRule="auto"/>
    </w:pPr>
    <w:rPr>
      <w:rFonts w:ascii="Times New Roman" w:eastAsia="Times New Roman" w:hAnsi="Times New Roman" w:cs="David"/>
      <w:noProof/>
      <w:sz w:val="24"/>
      <w:szCs w:val="24"/>
    </w:rPr>
  </w:style>
  <w:style w:type="paragraph" w:customStyle="1" w:styleId="E6E6A917CC5E4519A8F2E864C48E22F214">
    <w:name w:val="E6E6A917CC5E4519A8F2E864C48E22F214"/>
    <w:rsid w:val="00243834"/>
    <w:pPr>
      <w:bidi/>
      <w:spacing w:after="0" w:line="240" w:lineRule="auto"/>
    </w:pPr>
    <w:rPr>
      <w:rFonts w:ascii="Times New Roman" w:eastAsia="Times New Roman" w:hAnsi="Times New Roman" w:cs="David"/>
      <w:noProof/>
      <w:sz w:val="24"/>
      <w:szCs w:val="24"/>
    </w:rPr>
  </w:style>
  <w:style w:type="paragraph" w:customStyle="1" w:styleId="9DC4FF55E52B4E209349FC40470DD41814">
    <w:name w:val="9DC4FF55E52B4E209349FC40470DD41814"/>
    <w:rsid w:val="00243834"/>
    <w:pPr>
      <w:bidi/>
      <w:spacing w:after="0" w:line="240" w:lineRule="auto"/>
    </w:pPr>
    <w:rPr>
      <w:rFonts w:ascii="Times New Roman" w:eastAsia="Times New Roman" w:hAnsi="Times New Roman" w:cs="David"/>
      <w:noProof/>
      <w:sz w:val="24"/>
      <w:szCs w:val="24"/>
    </w:rPr>
  </w:style>
  <w:style w:type="paragraph" w:customStyle="1" w:styleId="112E7BE5CCF64A68A3D497F283A4D69514">
    <w:name w:val="112E7BE5CCF64A68A3D497F283A4D69514"/>
    <w:rsid w:val="00243834"/>
    <w:pPr>
      <w:bidi/>
      <w:spacing w:after="0" w:line="240" w:lineRule="auto"/>
    </w:pPr>
    <w:rPr>
      <w:rFonts w:ascii="Times New Roman" w:eastAsia="Times New Roman" w:hAnsi="Times New Roman" w:cs="David"/>
      <w:noProof/>
      <w:sz w:val="24"/>
      <w:szCs w:val="24"/>
    </w:rPr>
  </w:style>
  <w:style w:type="paragraph" w:customStyle="1" w:styleId="ECC435E5782A4F3FB39457279E24BE8812">
    <w:name w:val="ECC435E5782A4F3FB39457279E24BE8812"/>
    <w:rsid w:val="00243834"/>
    <w:pPr>
      <w:bidi/>
      <w:spacing w:after="0" w:line="240" w:lineRule="auto"/>
    </w:pPr>
    <w:rPr>
      <w:rFonts w:ascii="Times New Roman" w:eastAsia="Times New Roman" w:hAnsi="Times New Roman" w:cs="David"/>
      <w:noProof/>
      <w:sz w:val="24"/>
      <w:szCs w:val="24"/>
    </w:rPr>
  </w:style>
  <w:style w:type="paragraph" w:customStyle="1" w:styleId="E460D38E05664FF79D4EFF282EF8EC9926">
    <w:name w:val="E460D38E05664FF79D4EFF282EF8EC9926"/>
    <w:rsid w:val="00243834"/>
    <w:pPr>
      <w:bidi/>
      <w:spacing w:after="0" w:line="240" w:lineRule="auto"/>
    </w:pPr>
    <w:rPr>
      <w:rFonts w:ascii="Times New Roman" w:eastAsia="Times New Roman" w:hAnsi="Times New Roman" w:cs="David"/>
      <w:noProof/>
      <w:sz w:val="24"/>
      <w:szCs w:val="24"/>
    </w:rPr>
  </w:style>
  <w:style w:type="paragraph" w:customStyle="1" w:styleId="116EBBD5A99E4E519EE4A5661D82C50E15">
    <w:name w:val="116EBBD5A99E4E519EE4A5661D82C50E15"/>
    <w:rsid w:val="003D74C1"/>
    <w:pPr>
      <w:bidi/>
      <w:spacing w:after="0" w:line="240" w:lineRule="auto"/>
    </w:pPr>
    <w:rPr>
      <w:rFonts w:ascii="Times New Roman" w:eastAsia="Times New Roman" w:hAnsi="Times New Roman" w:cs="David"/>
      <w:noProof/>
      <w:sz w:val="24"/>
      <w:szCs w:val="24"/>
    </w:rPr>
  </w:style>
  <w:style w:type="paragraph" w:customStyle="1" w:styleId="E6E6A917CC5E4519A8F2E864C48E22F215">
    <w:name w:val="E6E6A917CC5E4519A8F2E864C48E22F215"/>
    <w:rsid w:val="003D74C1"/>
    <w:pPr>
      <w:bidi/>
      <w:spacing w:after="0" w:line="240" w:lineRule="auto"/>
    </w:pPr>
    <w:rPr>
      <w:rFonts w:ascii="Times New Roman" w:eastAsia="Times New Roman" w:hAnsi="Times New Roman" w:cs="David"/>
      <w:noProof/>
      <w:sz w:val="24"/>
      <w:szCs w:val="24"/>
    </w:rPr>
  </w:style>
  <w:style w:type="paragraph" w:customStyle="1" w:styleId="9DC4FF55E52B4E209349FC40470DD41815">
    <w:name w:val="9DC4FF55E52B4E209349FC40470DD41815"/>
    <w:rsid w:val="003D74C1"/>
    <w:pPr>
      <w:bidi/>
      <w:spacing w:after="0" w:line="240" w:lineRule="auto"/>
    </w:pPr>
    <w:rPr>
      <w:rFonts w:ascii="Times New Roman" w:eastAsia="Times New Roman" w:hAnsi="Times New Roman" w:cs="David"/>
      <w:noProof/>
      <w:sz w:val="24"/>
      <w:szCs w:val="24"/>
    </w:rPr>
  </w:style>
  <w:style w:type="paragraph" w:customStyle="1" w:styleId="112E7BE5CCF64A68A3D497F283A4D69515">
    <w:name w:val="112E7BE5CCF64A68A3D497F283A4D69515"/>
    <w:rsid w:val="003D74C1"/>
    <w:pPr>
      <w:bidi/>
      <w:spacing w:after="0" w:line="240" w:lineRule="auto"/>
    </w:pPr>
    <w:rPr>
      <w:rFonts w:ascii="Times New Roman" w:eastAsia="Times New Roman" w:hAnsi="Times New Roman" w:cs="David"/>
      <w:noProof/>
      <w:sz w:val="24"/>
      <w:szCs w:val="24"/>
    </w:rPr>
  </w:style>
  <w:style w:type="paragraph" w:customStyle="1" w:styleId="ECC435E5782A4F3FB39457279E24BE8813">
    <w:name w:val="ECC435E5782A4F3FB39457279E24BE8813"/>
    <w:rsid w:val="003D74C1"/>
    <w:pPr>
      <w:bidi/>
      <w:spacing w:after="0" w:line="240" w:lineRule="auto"/>
    </w:pPr>
    <w:rPr>
      <w:rFonts w:ascii="Times New Roman" w:eastAsia="Times New Roman" w:hAnsi="Times New Roman" w:cs="David"/>
      <w:noProof/>
      <w:sz w:val="24"/>
      <w:szCs w:val="24"/>
    </w:rPr>
  </w:style>
  <w:style w:type="paragraph" w:customStyle="1" w:styleId="E460D38E05664FF79D4EFF282EF8EC9927">
    <w:name w:val="E460D38E05664FF79D4EFF282EF8EC9927"/>
    <w:rsid w:val="003D74C1"/>
    <w:pPr>
      <w:bidi/>
      <w:spacing w:after="0" w:line="240" w:lineRule="auto"/>
    </w:pPr>
    <w:rPr>
      <w:rFonts w:ascii="Times New Roman" w:eastAsia="Times New Roman" w:hAnsi="Times New Roman" w:cs="David"/>
      <w:noProof/>
      <w:sz w:val="24"/>
      <w:szCs w:val="24"/>
    </w:rPr>
  </w:style>
  <w:style w:type="paragraph" w:customStyle="1" w:styleId="116EBBD5A99E4E519EE4A5661D82C50E16">
    <w:name w:val="116EBBD5A99E4E519EE4A5661D82C50E16"/>
    <w:rsid w:val="003D74C1"/>
    <w:pPr>
      <w:bidi/>
      <w:spacing w:after="0" w:line="240" w:lineRule="auto"/>
    </w:pPr>
    <w:rPr>
      <w:rFonts w:ascii="Times New Roman" w:eastAsia="Times New Roman" w:hAnsi="Times New Roman" w:cs="David"/>
      <w:noProof/>
      <w:sz w:val="24"/>
      <w:szCs w:val="24"/>
    </w:rPr>
  </w:style>
  <w:style w:type="paragraph" w:customStyle="1" w:styleId="E6E6A917CC5E4519A8F2E864C48E22F216">
    <w:name w:val="E6E6A917CC5E4519A8F2E864C48E22F216"/>
    <w:rsid w:val="003D74C1"/>
    <w:pPr>
      <w:bidi/>
      <w:spacing w:after="0" w:line="240" w:lineRule="auto"/>
    </w:pPr>
    <w:rPr>
      <w:rFonts w:ascii="Times New Roman" w:eastAsia="Times New Roman" w:hAnsi="Times New Roman" w:cs="David"/>
      <w:noProof/>
      <w:sz w:val="24"/>
      <w:szCs w:val="24"/>
    </w:rPr>
  </w:style>
  <w:style w:type="paragraph" w:customStyle="1" w:styleId="9DC4FF55E52B4E209349FC40470DD41816">
    <w:name w:val="9DC4FF55E52B4E209349FC40470DD41816"/>
    <w:rsid w:val="003D74C1"/>
    <w:pPr>
      <w:bidi/>
      <w:spacing w:after="0" w:line="240" w:lineRule="auto"/>
    </w:pPr>
    <w:rPr>
      <w:rFonts w:ascii="Times New Roman" w:eastAsia="Times New Roman" w:hAnsi="Times New Roman" w:cs="David"/>
      <w:noProof/>
      <w:sz w:val="24"/>
      <w:szCs w:val="24"/>
    </w:rPr>
  </w:style>
  <w:style w:type="paragraph" w:customStyle="1" w:styleId="112E7BE5CCF64A68A3D497F283A4D69516">
    <w:name w:val="112E7BE5CCF64A68A3D497F283A4D69516"/>
    <w:rsid w:val="003D74C1"/>
    <w:pPr>
      <w:bidi/>
      <w:spacing w:after="0" w:line="240" w:lineRule="auto"/>
    </w:pPr>
    <w:rPr>
      <w:rFonts w:ascii="Times New Roman" w:eastAsia="Times New Roman" w:hAnsi="Times New Roman" w:cs="David"/>
      <w:noProof/>
      <w:sz w:val="24"/>
      <w:szCs w:val="24"/>
    </w:rPr>
  </w:style>
  <w:style w:type="paragraph" w:customStyle="1" w:styleId="ECC435E5782A4F3FB39457279E24BE8814">
    <w:name w:val="ECC435E5782A4F3FB39457279E24BE8814"/>
    <w:rsid w:val="003D74C1"/>
    <w:pPr>
      <w:bidi/>
      <w:spacing w:after="0" w:line="240" w:lineRule="auto"/>
    </w:pPr>
    <w:rPr>
      <w:rFonts w:ascii="Times New Roman" w:eastAsia="Times New Roman" w:hAnsi="Times New Roman" w:cs="David"/>
      <w:noProof/>
      <w:sz w:val="24"/>
      <w:szCs w:val="24"/>
    </w:rPr>
  </w:style>
  <w:style w:type="paragraph" w:customStyle="1" w:styleId="E460D38E05664FF79D4EFF282EF8EC9928">
    <w:name w:val="E460D38E05664FF79D4EFF282EF8EC9928"/>
    <w:rsid w:val="003D74C1"/>
    <w:pPr>
      <w:bidi/>
      <w:spacing w:after="0" w:line="240" w:lineRule="auto"/>
    </w:pPr>
    <w:rPr>
      <w:rFonts w:ascii="Times New Roman" w:eastAsia="Times New Roman" w:hAnsi="Times New Roman" w:cs="David"/>
      <w:noProof/>
      <w:sz w:val="24"/>
      <w:szCs w:val="24"/>
    </w:rPr>
  </w:style>
  <w:style w:type="paragraph" w:customStyle="1" w:styleId="116EBBD5A99E4E519EE4A5661D82C50E17">
    <w:name w:val="116EBBD5A99E4E519EE4A5661D82C50E17"/>
    <w:rsid w:val="00EB2309"/>
    <w:pPr>
      <w:bidi/>
      <w:spacing w:after="0" w:line="240" w:lineRule="auto"/>
    </w:pPr>
    <w:rPr>
      <w:rFonts w:ascii="Times New Roman" w:eastAsia="Times New Roman" w:hAnsi="Times New Roman" w:cs="David"/>
      <w:noProof/>
      <w:sz w:val="24"/>
      <w:szCs w:val="24"/>
    </w:rPr>
  </w:style>
  <w:style w:type="paragraph" w:customStyle="1" w:styleId="E6E6A917CC5E4519A8F2E864C48E22F217">
    <w:name w:val="E6E6A917CC5E4519A8F2E864C48E22F217"/>
    <w:rsid w:val="00EB2309"/>
    <w:pPr>
      <w:bidi/>
      <w:spacing w:after="0" w:line="240" w:lineRule="auto"/>
    </w:pPr>
    <w:rPr>
      <w:rFonts w:ascii="Times New Roman" w:eastAsia="Times New Roman" w:hAnsi="Times New Roman" w:cs="David"/>
      <w:noProof/>
      <w:sz w:val="24"/>
      <w:szCs w:val="24"/>
    </w:rPr>
  </w:style>
  <w:style w:type="paragraph" w:customStyle="1" w:styleId="9DC4FF55E52B4E209349FC40470DD41817">
    <w:name w:val="9DC4FF55E52B4E209349FC40470DD41817"/>
    <w:rsid w:val="00EB2309"/>
    <w:pPr>
      <w:bidi/>
      <w:spacing w:after="0" w:line="240" w:lineRule="auto"/>
    </w:pPr>
    <w:rPr>
      <w:rFonts w:ascii="Times New Roman" w:eastAsia="Times New Roman" w:hAnsi="Times New Roman" w:cs="David"/>
      <w:noProof/>
      <w:sz w:val="24"/>
      <w:szCs w:val="24"/>
    </w:rPr>
  </w:style>
  <w:style w:type="paragraph" w:customStyle="1" w:styleId="112E7BE5CCF64A68A3D497F283A4D69517">
    <w:name w:val="112E7BE5CCF64A68A3D497F283A4D69517"/>
    <w:rsid w:val="00EB2309"/>
    <w:pPr>
      <w:bidi/>
      <w:spacing w:after="0" w:line="240" w:lineRule="auto"/>
    </w:pPr>
    <w:rPr>
      <w:rFonts w:ascii="Times New Roman" w:eastAsia="Times New Roman" w:hAnsi="Times New Roman" w:cs="David"/>
      <w:noProof/>
      <w:sz w:val="24"/>
      <w:szCs w:val="24"/>
    </w:rPr>
  </w:style>
  <w:style w:type="paragraph" w:customStyle="1" w:styleId="ECC435E5782A4F3FB39457279E24BE8815">
    <w:name w:val="ECC435E5782A4F3FB39457279E24BE8815"/>
    <w:rsid w:val="00EB2309"/>
    <w:pPr>
      <w:bidi/>
      <w:spacing w:after="0" w:line="240" w:lineRule="auto"/>
    </w:pPr>
    <w:rPr>
      <w:rFonts w:ascii="Times New Roman" w:eastAsia="Times New Roman" w:hAnsi="Times New Roman" w:cs="David"/>
      <w:noProof/>
      <w:sz w:val="24"/>
      <w:szCs w:val="24"/>
    </w:rPr>
  </w:style>
  <w:style w:type="paragraph" w:customStyle="1" w:styleId="E460D38E05664FF79D4EFF282EF8EC9929">
    <w:name w:val="E460D38E05664FF79D4EFF282EF8EC9929"/>
    <w:rsid w:val="00EB2309"/>
    <w:pPr>
      <w:bidi/>
      <w:spacing w:after="0" w:line="240" w:lineRule="auto"/>
    </w:pPr>
    <w:rPr>
      <w:rFonts w:ascii="Times New Roman" w:eastAsia="Times New Roman" w:hAnsi="Times New Roman" w:cs="David"/>
      <w:noProof/>
      <w:sz w:val="24"/>
      <w:szCs w:val="24"/>
    </w:rPr>
  </w:style>
  <w:style w:type="paragraph" w:customStyle="1" w:styleId="116EBBD5A99E4E519EE4A5661D82C50E18">
    <w:name w:val="116EBBD5A99E4E519EE4A5661D82C50E18"/>
    <w:rsid w:val="00AE1281"/>
    <w:pPr>
      <w:bidi/>
      <w:spacing w:after="0" w:line="240" w:lineRule="auto"/>
    </w:pPr>
    <w:rPr>
      <w:rFonts w:ascii="Times New Roman" w:eastAsia="Times New Roman" w:hAnsi="Times New Roman" w:cs="David"/>
      <w:noProof/>
      <w:sz w:val="24"/>
      <w:szCs w:val="24"/>
    </w:rPr>
  </w:style>
  <w:style w:type="paragraph" w:customStyle="1" w:styleId="E6E6A917CC5E4519A8F2E864C48E22F218">
    <w:name w:val="E6E6A917CC5E4519A8F2E864C48E22F218"/>
    <w:rsid w:val="00AE1281"/>
    <w:pPr>
      <w:bidi/>
      <w:spacing w:after="0" w:line="240" w:lineRule="auto"/>
    </w:pPr>
    <w:rPr>
      <w:rFonts w:ascii="Times New Roman" w:eastAsia="Times New Roman" w:hAnsi="Times New Roman" w:cs="David"/>
      <w:noProof/>
      <w:sz w:val="24"/>
      <w:szCs w:val="24"/>
    </w:rPr>
  </w:style>
  <w:style w:type="paragraph" w:customStyle="1" w:styleId="9DC4FF55E52B4E209349FC40470DD41818">
    <w:name w:val="9DC4FF55E52B4E209349FC40470DD41818"/>
    <w:rsid w:val="00AE1281"/>
    <w:pPr>
      <w:bidi/>
      <w:spacing w:after="0" w:line="240" w:lineRule="auto"/>
    </w:pPr>
    <w:rPr>
      <w:rFonts w:ascii="Times New Roman" w:eastAsia="Times New Roman" w:hAnsi="Times New Roman" w:cs="David"/>
      <w:noProof/>
      <w:sz w:val="24"/>
      <w:szCs w:val="24"/>
    </w:rPr>
  </w:style>
  <w:style w:type="paragraph" w:customStyle="1" w:styleId="112E7BE5CCF64A68A3D497F283A4D69518">
    <w:name w:val="112E7BE5CCF64A68A3D497F283A4D69518"/>
    <w:rsid w:val="00AE1281"/>
    <w:pPr>
      <w:bidi/>
      <w:spacing w:after="0" w:line="240" w:lineRule="auto"/>
    </w:pPr>
    <w:rPr>
      <w:rFonts w:ascii="Times New Roman" w:eastAsia="Times New Roman" w:hAnsi="Times New Roman" w:cs="David"/>
      <w:noProof/>
      <w:sz w:val="24"/>
      <w:szCs w:val="24"/>
    </w:rPr>
  </w:style>
  <w:style w:type="paragraph" w:customStyle="1" w:styleId="ECC435E5782A4F3FB39457279E24BE8816">
    <w:name w:val="ECC435E5782A4F3FB39457279E24BE8816"/>
    <w:rsid w:val="00AE1281"/>
    <w:pPr>
      <w:bidi/>
      <w:spacing w:after="0" w:line="240" w:lineRule="auto"/>
    </w:pPr>
    <w:rPr>
      <w:rFonts w:ascii="Times New Roman" w:eastAsia="Times New Roman" w:hAnsi="Times New Roman" w:cs="David"/>
      <w:noProof/>
      <w:sz w:val="24"/>
      <w:szCs w:val="24"/>
    </w:rPr>
  </w:style>
  <w:style w:type="paragraph" w:customStyle="1" w:styleId="E460D38E05664FF79D4EFF282EF8EC9930">
    <w:name w:val="E460D38E05664FF79D4EFF282EF8EC9930"/>
    <w:rsid w:val="00AE1281"/>
    <w:pPr>
      <w:bidi/>
      <w:spacing w:after="0" w:line="240" w:lineRule="auto"/>
    </w:pPr>
    <w:rPr>
      <w:rFonts w:ascii="Times New Roman" w:eastAsia="Times New Roman" w:hAnsi="Times New Roman" w:cs="David"/>
      <w:noProof/>
      <w:sz w:val="24"/>
      <w:szCs w:val="24"/>
    </w:rPr>
  </w:style>
  <w:style w:type="paragraph" w:customStyle="1" w:styleId="116EBBD5A99E4E519EE4A5661D82C50E19">
    <w:name w:val="116EBBD5A99E4E519EE4A5661D82C50E19"/>
    <w:rsid w:val="009D04C0"/>
    <w:pPr>
      <w:bidi/>
      <w:spacing w:after="0" w:line="240" w:lineRule="auto"/>
    </w:pPr>
    <w:rPr>
      <w:rFonts w:ascii="Times New Roman" w:eastAsia="Times New Roman" w:hAnsi="Times New Roman" w:cs="David"/>
      <w:noProof/>
      <w:sz w:val="24"/>
      <w:szCs w:val="24"/>
    </w:rPr>
  </w:style>
  <w:style w:type="paragraph" w:customStyle="1" w:styleId="E6E6A917CC5E4519A8F2E864C48E22F219">
    <w:name w:val="E6E6A917CC5E4519A8F2E864C48E22F219"/>
    <w:rsid w:val="009D04C0"/>
    <w:pPr>
      <w:bidi/>
      <w:spacing w:after="0" w:line="240" w:lineRule="auto"/>
    </w:pPr>
    <w:rPr>
      <w:rFonts w:ascii="Times New Roman" w:eastAsia="Times New Roman" w:hAnsi="Times New Roman" w:cs="David"/>
      <w:noProof/>
      <w:sz w:val="24"/>
      <w:szCs w:val="24"/>
    </w:rPr>
  </w:style>
  <w:style w:type="paragraph" w:customStyle="1" w:styleId="9DC4FF55E52B4E209349FC40470DD41819">
    <w:name w:val="9DC4FF55E52B4E209349FC40470DD41819"/>
    <w:rsid w:val="009D04C0"/>
    <w:pPr>
      <w:bidi/>
      <w:spacing w:after="0" w:line="240" w:lineRule="auto"/>
    </w:pPr>
    <w:rPr>
      <w:rFonts w:ascii="Times New Roman" w:eastAsia="Times New Roman" w:hAnsi="Times New Roman" w:cs="David"/>
      <w:noProof/>
      <w:sz w:val="24"/>
      <w:szCs w:val="24"/>
    </w:rPr>
  </w:style>
  <w:style w:type="paragraph" w:customStyle="1" w:styleId="112E7BE5CCF64A68A3D497F283A4D69519">
    <w:name w:val="112E7BE5CCF64A68A3D497F283A4D69519"/>
    <w:rsid w:val="009D04C0"/>
    <w:pPr>
      <w:bidi/>
      <w:spacing w:after="0" w:line="240" w:lineRule="auto"/>
    </w:pPr>
    <w:rPr>
      <w:rFonts w:ascii="Times New Roman" w:eastAsia="Times New Roman" w:hAnsi="Times New Roman" w:cs="David"/>
      <w:noProof/>
      <w:sz w:val="24"/>
      <w:szCs w:val="24"/>
    </w:rPr>
  </w:style>
  <w:style w:type="paragraph" w:customStyle="1" w:styleId="ECC435E5782A4F3FB39457279E24BE8817">
    <w:name w:val="ECC435E5782A4F3FB39457279E24BE8817"/>
    <w:rsid w:val="009D04C0"/>
    <w:pPr>
      <w:bidi/>
      <w:spacing w:after="0" w:line="240" w:lineRule="auto"/>
    </w:pPr>
    <w:rPr>
      <w:rFonts w:ascii="Times New Roman" w:eastAsia="Times New Roman" w:hAnsi="Times New Roman" w:cs="David"/>
      <w:noProof/>
      <w:sz w:val="24"/>
      <w:szCs w:val="24"/>
    </w:rPr>
  </w:style>
  <w:style w:type="paragraph" w:customStyle="1" w:styleId="E460D38E05664FF79D4EFF282EF8EC9931">
    <w:name w:val="E460D38E05664FF79D4EFF282EF8EC9931"/>
    <w:rsid w:val="009D04C0"/>
    <w:pPr>
      <w:bidi/>
      <w:spacing w:after="0" w:line="240" w:lineRule="auto"/>
    </w:pPr>
    <w:rPr>
      <w:rFonts w:ascii="Times New Roman" w:eastAsia="Times New Roman" w:hAnsi="Times New Roman" w:cs="David"/>
      <w:noProof/>
      <w:sz w:val="24"/>
      <w:szCs w:val="24"/>
    </w:rPr>
  </w:style>
  <w:style w:type="paragraph" w:customStyle="1" w:styleId="116EBBD5A99E4E519EE4A5661D82C50E20">
    <w:name w:val="116EBBD5A99E4E519EE4A5661D82C50E20"/>
    <w:rsid w:val="001E622F"/>
    <w:pPr>
      <w:bidi/>
      <w:spacing w:after="0" w:line="240" w:lineRule="auto"/>
    </w:pPr>
    <w:rPr>
      <w:rFonts w:ascii="Times New Roman" w:eastAsia="Times New Roman" w:hAnsi="Times New Roman" w:cs="David"/>
      <w:noProof/>
      <w:sz w:val="24"/>
      <w:szCs w:val="24"/>
    </w:rPr>
  </w:style>
  <w:style w:type="paragraph" w:customStyle="1" w:styleId="E6E6A917CC5E4519A8F2E864C48E22F220">
    <w:name w:val="E6E6A917CC5E4519A8F2E864C48E22F220"/>
    <w:rsid w:val="001E622F"/>
    <w:pPr>
      <w:bidi/>
      <w:spacing w:after="0" w:line="240" w:lineRule="auto"/>
    </w:pPr>
    <w:rPr>
      <w:rFonts w:ascii="Times New Roman" w:eastAsia="Times New Roman" w:hAnsi="Times New Roman" w:cs="David"/>
      <w:noProof/>
      <w:sz w:val="24"/>
      <w:szCs w:val="24"/>
    </w:rPr>
  </w:style>
  <w:style w:type="paragraph" w:customStyle="1" w:styleId="9DC4FF55E52B4E209349FC40470DD41820">
    <w:name w:val="9DC4FF55E52B4E209349FC40470DD41820"/>
    <w:rsid w:val="001E622F"/>
    <w:pPr>
      <w:bidi/>
      <w:spacing w:after="0" w:line="240" w:lineRule="auto"/>
    </w:pPr>
    <w:rPr>
      <w:rFonts w:ascii="Times New Roman" w:eastAsia="Times New Roman" w:hAnsi="Times New Roman" w:cs="David"/>
      <w:noProof/>
      <w:sz w:val="24"/>
      <w:szCs w:val="24"/>
    </w:rPr>
  </w:style>
  <w:style w:type="paragraph" w:customStyle="1" w:styleId="112E7BE5CCF64A68A3D497F283A4D69520">
    <w:name w:val="112E7BE5CCF64A68A3D497F283A4D69520"/>
    <w:rsid w:val="001E622F"/>
    <w:pPr>
      <w:bidi/>
      <w:spacing w:after="0" w:line="240" w:lineRule="auto"/>
    </w:pPr>
    <w:rPr>
      <w:rFonts w:ascii="Times New Roman" w:eastAsia="Times New Roman" w:hAnsi="Times New Roman" w:cs="David"/>
      <w:noProof/>
      <w:sz w:val="24"/>
      <w:szCs w:val="24"/>
    </w:rPr>
  </w:style>
  <w:style w:type="paragraph" w:customStyle="1" w:styleId="ECC435E5782A4F3FB39457279E24BE8818">
    <w:name w:val="ECC435E5782A4F3FB39457279E24BE8818"/>
    <w:rsid w:val="001E622F"/>
    <w:pPr>
      <w:bidi/>
      <w:spacing w:after="0" w:line="240" w:lineRule="auto"/>
    </w:pPr>
    <w:rPr>
      <w:rFonts w:ascii="Times New Roman" w:eastAsia="Times New Roman" w:hAnsi="Times New Roman" w:cs="David"/>
      <w:noProof/>
      <w:sz w:val="24"/>
      <w:szCs w:val="24"/>
    </w:rPr>
  </w:style>
  <w:style w:type="paragraph" w:customStyle="1" w:styleId="E460D38E05664FF79D4EFF282EF8EC9932">
    <w:name w:val="E460D38E05664FF79D4EFF282EF8EC9932"/>
    <w:rsid w:val="001E622F"/>
    <w:pPr>
      <w:bidi/>
      <w:spacing w:after="0" w:line="240" w:lineRule="auto"/>
    </w:pPr>
    <w:rPr>
      <w:rFonts w:ascii="Times New Roman" w:eastAsia="Times New Roman" w:hAnsi="Times New Roman" w:cs="David"/>
      <w:noProof/>
      <w:sz w:val="24"/>
      <w:szCs w:val="24"/>
    </w:rPr>
  </w:style>
  <w:style w:type="paragraph" w:customStyle="1" w:styleId="116EBBD5A99E4E519EE4A5661D82C50E21">
    <w:name w:val="116EBBD5A99E4E519EE4A5661D82C50E21"/>
    <w:rsid w:val="009234CA"/>
    <w:pPr>
      <w:bidi/>
      <w:spacing w:after="0" w:line="240" w:lineRule="auto"/>
    </w:pPr>
    <w:rPr>
      <w:rFonts w:ascii="Times New Roman" w:eastAsia="Times New Roman" w:hAnsi="Times New Roman" w:cs="David"/>
      <w:noProof/>
      <w:sz w:val="24"/>
      <w:szCs w:val="24"/>
    </w:rPr>
  </w:style>
  <w:style w:type="paragraph" w:customStyle="1" w:styleId="E6E6A917CC5E4519A8F2E864C48E22F221">
    <w:name w:val="E6E6A917CC5E4519A8F2E864C48E22F221"/>
    <w:rsid w:val="009234CA"/>
    <w:pPr>
      <w:bidi/>
      <w:spacing w:after="0" w:line="240" w:lineRule="auto"/>
    </w:pPr>
    <w:rPr>
      <w:rFonts w:ascii="Times New Roman" w:eastAsia="Times New Roman" w:hAnsi="Times New Roman" w:cs="David"/>
      <w:noProof/>
      <w:sz w:val="24"/>
      <w:szCs w:val="24"/>
    </w:rPr>
  </w:style>
  <w:style w:type="paragraph" w:customStyle="1" w:styleId="9DC4FF55E52B4E209349FC40470DD41821">
    <w:name w:val="9DC4FF55E52B4E209349FC40470DD41821"/>
    <w:rsid w:val="009234CA"/>
    <w:pPr>
      <w:bidi/>
      <w:spacing w:after="0" w:line="240" w:lineRule="auto"/>
    </w:pPr>
    <w:rPr>
      <w:rFonts w:ascii="Times New Roman" w:eastAsia="Times New Roman" w:hAnsi="Times New Roman" w:cs="David"/>
      <w:noProof/>
      <w:sz w:val="24"/>
      <w:szCs w:val="24"/>
    </w:rPr>
  </w:style>
  <w:style w:type="paragraph" w:customStyle="1" w:styleId="112E7BE5CCF64A68A3D497F283A4D69521">
    <w:name w:val="112E7BE5CCF64A68A3D497F283A4D69521"/>
    <w:rsid w:val="009234CA"/>
    <w:pPr>
      <w:bidi/>
      <w:spacing w:after="0" w:line="240" w:lineRule="auto"/>
    </w:pPr>
    <w:rPr>
      <w:rFonts w:ascii="Times New Roman" w:eastAsia="Times New Roman" w:hAnsi="Times New Roman" w:cs="David"/>
      <w:noProof/>
      <w:sz w:val="24"/>
      <w:szCs w:val="24"/>
    </w:rPr>
  </w:style>
  <w:style w:type="paragraph" w:customStyle="1" w:styleId="ECC435E5782A4F3FB39457279E24BE8819">
    <w:name w:val="ECC435E5782A4F3FB39457279E24BE8819"/>
    <w:rsid w:val="009234CA"/>
    <w:pPr>
      <w:bidi/>
      <w:spacing w:after="0" w:line="240" w:lineRule="auto"/>
    </w:pPr>
    <w:rPr>
      <w:rFonts w:ascii="Times New Roman" w:eastAsia="Times New Roman" w:hAnsi="Times New Roman" w:cs="David"/>
      <w:noProof/>
      <w:sz w:val="24"/>
      <w:szCs w:val="24"/>
    </w:rPr>
  </w:style>
  <w:style w:type="paragraph" w:customStyle="1" w:styleId="E460D38E05664FF79D4EFF282EF8EC9933">
    <w:name w:val="E460D38E05664FF79D4EFF282EF8EC9933"/>
    <w:rsid w:val="009234CA"/>
    <w:pPr>
      <w:bidi/>
      <w:spacing w:after="0" w:line="240" w:lineRule="auto"/>
    </w:pPr>
    <w:rPr>
      <w:rFonts w:ascii="Times New Roman" w:eastAsia="Times New Roman" w:hAnsi="Times New Roman" w:cs="David"/>
      <w:noProof/>
      <w:sz w:val="24"/>
      <w:szCs w:val="24"/>
    </w:rPr>
  </w:style>
  <w:style w:type="paragraph" w:customStyle="1" w:styleId="AD812B442A6148AD86AF75D37292B388">
    <w:name w:val="AD812B442A6148AD86AF75D37292B388"/>
    <w:rsid w:val="009234CA"/>
    <w:pPr>
      <w:bidi/>
      <w:spacing w:after="160" w:line="259" w:lineRule="auto"/>
    </w:pPr>
  </w:style>
  <w:style w:type="paragraph" w:customStyle="1" w:styleId="E516A655D6BA4402B6419633AB3A57D0">
    <w:name w:val="E516A655D6BA4402B6419633AB3A57D0"/>
    <w:rsid w:val="009234CA"/>
    <w:pPr>
      <w:bidi/>
      <w:spacing w:after="160" w:line="259" w:lineRule="auto"/>
    </w:pPr>
  </w:style>
  <w:style w:type="paragraph" w:customStyle="1" w:styleId="CFC05397738F4E5A80E642501E3521EE">
    <w:name w:val="CFC05397738F4E5A80E642501E3521EE"/>
    <w:rsid w:val="009234CA"/>
    <w:pPr>
      <w:bidi/>
      <w:spacing w:after="160" w:line="259" w:lineRule="auto"/>
    </w:pPr>
  </w:style>
  <w:style w:type="paragraph" w:customStyle="1" w:styleId="90B0F759156647ACAD295D20FC97F03F">
    <w:name w:val="90B0F759156647ACAD295D20FC97F03F"/>
    <w:rsid w:val="009234CA"/>
    <w:pPr>
      <w:bidi/>
      <w:spacing w:after="160" w:line="259" w:lineRule="auto"/>
    </w:pPr>
  </w:style>
  <w:style w:type="paragraph" w:customStyle="1" w:styleId="A32784E0CF004EEDBF07D7430B41A77E">
    <w:name w:val="A32784E0CF004EEDBF07D7430B41A77E"/>
    <w:rsid w:val="009234CA"/>
    <w:pPr>
      <w:bidi/>
      <w:spacing w:after="160" w:line="259" w:lineRule="auto"/>
    </w:pPr>
  </w:style>
  <w:style w:type="paragraph" w:customStyle="1" w:styleId="2F0C8789261B416098B21975B972BEDE">
    <w:name w:val="2F0C8789261B416098B21975B972BEDE"/>
    <w:rsid w:val="009234CA"/>
    <w:pPr>
      <w:bidi/>
      <w:spacing w:after="160" w:line="259" w:lineRule="auto"/>
    </w:pPr>
  </w:style>
  <w:style w:type="paragraph" w:customStyle="1" w:styleId="E516A655D6BA4402B6419633AB3A57D01">
    <w:name w:val="E516A655D6BA4402B6419633AB3A57D01"/>
    <w:rsid w:val="00C4535D"/>
    <w:pPr>
      <w:bidi/>
      <w:spacing w:after="0" w:line="240" w:lineRule="auto"/>
    </w:pPr>
    <w:rPr>
      <w:rFonts w:ascii="Times New Roman" w:eastAsia="Times New Roman" w:hAnsi="Times New Roman" w:cs="David"/>
      <w:noProof/>
      <w:sz w:val="24"/>
      <w:szCs w:val="24"/>
    </w:rPr>
  </w:style>
  <w:style w:type="paragraph" w:customStyle="1" w:styleId="CFC05397738F4E5A80E642501E3521EE1">
    <w:name w:val="CFC05397738F4E5A80E642501E3521EE1"/>
    <w:rsid w:val="00C4535D"/>
    <w:pPr>
      <w:bidi/>
      <w:spacing w:after="0" w:line="240" w:lineRule="auto"/>
    </w:pPr>
    <w:rPr>
      <w:rFonts w:ascii="Times New Roman" w:eastAsia="Times New Roman" w:hAnsi="Times New Roman" w:cs="David"/>
      <w:noProof/>
      <w:sz w:val="24"/>
      <w:szCs w:val="24"/>
    </w:rPr>
  </w:style>
  <w:style w:type="paragraph" w:customStyle="1" w:styleId="90B0F759156647ACAD295D20FC97F03F1">
    <w:name w:val="90B0F759156647ACAD295D20FC97F03F1"/>
    <w:rsid w:val="00C4535D"/>
    <w:pPr>
      <w:bidi/>
      <w:spacing w:after="0" w:line="240" w:lineRule="auto"/>
    </w:pPr>
    <w:rPr>
      <w:rFonts w:ascii="Times New Roman" w:eastAsia="Times New Roman" w:hAnsi="Times New Roman" w:cs="David"/>
      <w:noProof/>
      <w:sz w:val="24"/>
      <w:szCs w:val="24"/>
    </w:rPr>
  </w:style>
  <w:style w:type="paragraph" w:customStyle="1" w:styleId="A32784E0CF004EEDBF07D7430B41A77E1">
    <w:name w:val="A32784E0CF004EEDBF07D7430B41A77E1"/>
    <w:rsid w:val="00C4535D"/>
    <w:pPr>
      <w:bidi/>
      <w:spacing w:after="0" w:line="240" w:lineRule="auto"/>
    </w:pPr>
    <w:rPr>
      <w:rFonts w:ascii="Times New Roman" w:eastAsia="Times New Roman" w:hAnsi="Times New Roman" w:cs="David"/>
      <w:noProof/>
      <w:sz w:val="24"/>
      <w:szCs w:val="24"/>
    </w:rPr>
  </w:style>
  <w:style w:type="paragraph" w:customStyle="1" w:styleId="2F0C8789261B416098B21975B972BEDE1">
    <w:name w:val="2F0C8789261B416098B21975B972BEDE1"/>
    <w:rsid w:val="00C4535D"/>
    <w:pPr>
      <w:bidi/>
      <w:spacing w:after="0" w:line="240" w:lineRule="auto"/>
    </w:pPr>
    <w:rPr>
      <w:rFonts w:ascii="Times New Roman" w:eastAsia="Times New Roman" w:hAnsi="Times New Roman" w:cs="David"/>
      <w:noProof/>
      <w:sz w:val="24"/>
      <w:szCs w:val="24"/>
    </w:rPr>
  </w:style>
  <w:style w:type="paragraph" w:customStyle="1" w:styleId="E460D38E05664FF79D4EFF282EF8EC9934">
    <w:name w:val="E460D38E05664FF79D4EFF282EF8EC9934"/>
    <w:rsid w:val="00C4535D"/>
    <w:pPr>
      <w:bidi/>
      <w:spacing w:after="0" w:line="240" w:lineRule="auto"/>
    </w:pPr>
    <w:rPr>
      <w:rFonts w:ascii="Times New Roman" w:eastAsia="Times New Roman" w:hAnsi="Times New Roman" w:cs="David"/>
      <w:noProof/>
      <w:sz w:val="24"/>
      <w:szCs w:val="24"/>
    </w:rPr>
  </w:style>
  <w:style w:type="paragraph" w:customStyle="1" w:styleId="E516A655D6BA4402B6419633AB3A57D02">
    <w:name w:val="E516A655D6BA4402B6419633AB3A57D02"/>
    <w:rsid w:val="00010976"/>
    <w:pPr>
      <w:bidi/>
      <w:spacing w:after="0" w:line="240" w:lineRule="auto"/>
    </w:pPr>
    <w:rPr>
      <w:rFonts w:ascii="Times New Roman" w:eastAsia="Times New Roman" w:hAnsi="Times New Roman" w:cs="David"/>
      <w:noProof/>
      <w:sz w:val="24"/>
      <w:szCs w:val="24"/>
    </w:rPr>
  </w:style>
  <w:style w:type="paragraph" w:customStyle="1" w:styleId="CFC05397738F4E5A80E642501E3521EE2">
    <w:name w:val="CFC05397738F4E5A80E642501E3521EE2"/>
    <w:rsid w:val="00010976"/>
    <w:pPr>
      <w:bidi/>
      <w:spacing w:after="0" w:line="240" w:lineRule="auto"/>
    </w:pPr>
    <w:rPr>
      <w:rFonts w:ascii="Times New Roman" w:eastAsia="Times New Roman" w:hAnsi="Times New Roman" w:cs="David"/>
      <w:noProof/>
      <w:sz w:val="24"/>
      <w:szCs w:val="24"/>
    </w:rPr>
  </w:style>
  <w:style w:type="paragraph" w:customStyle="1" w:styleId="90B0F759156647ACAD295D20FC97F03F2">
    <w:name w:val="90B0F759156647ACAD295D20FC97F03F2"/>
    <w:rsid w:val="00010976"/>
    <w:pPr>
      <w:bidi/>
      <w:spacing w:after="0" w:line="240" w:lineRule="auto"/>
    </w:pPr>
    <w:rPr>
      <w:rFonts w:ascii="Times New Roman" w:eastAsia="Times New Roman" w:hAnsi="Times New Roman" w:cs="David"/>
      <w:noProof/>
      <w:sz w:val="24"/>
      <w:szCs w:val="24"/>
    </w:rPr>
  </w:style>
  <w:style w:type="paragraph" w:customStyle="1" w:styleId="A32784E0CF004EEDBF07D7430B41A77E2">
    <w:name w:val="A32784E0CF004EEDBF07D7430B41A77E2"/>
    <w:rsid w:val="00010976"/>
    <w:pPr>
      <w:bidi/>
      <w:spacing w:after="0" w:line="240" w:lineRule="auto"/>
    </w:pPr>
    <w:rPr>
      <w:rFonts w:ascii="Times New Roman" w:eastAsia="Times New Roman" w:hAnsi="Times New Roman" w:cs="David"/>
      <w:noProof/>
      <w:sz w:val="24"/>
      <w:szCs w:val="24"/>
    </w:rPr>
  </w:style>
  <w:style w:type="paragraph" w:customStyle="1" w:styleId="2F0C8789261B416098B21975B972BEDE2">
    <w:name w:val="2F0C8789261B416098B21975B972BEDE2"/>
    <w:rsid w:val="00010976"/>
    <w:pPr>
      <w:bidi/>
      <w:spacing w:after="0" w:line="240" w:lineRule="auto"/>
    </w:pPr>
    <w:rPr>
      <w:rFonts w:ascii="Times New Roman" w:eastAsia="Times New Roman" w:hAnsi="Times New Roman" w:cs="David"/>
      <w:noProof/>
      <w:sz w:val="24"/>
      <w:szCs w:val="24"/>
    </w:rPr>
  </w:style>
  <w:style w:type="paragraph" w:customStyle="1" w:styleId="E460D38E05664FF79D4EFF282EF8EC9935">
    <w:name w:val="E460D38E05664FF79D4EFF282EF8EC9935"/>
    <w:rsid w:val="00010976"/>
    <w:pPr>
      <w:bidi/>
      <w:spacing w:after="0" w:line="240" w:lineRule="auto"/>
    </w:pPr>
    <w:rPr>
      <w:rFonts w:ascii="Times New Roman" w:eastAsia="Times New Roman" w:hAnsi="Times New Roman" w:cs="David"/>
      <w:noProof/>
      <w:sz w:val="24"/>
      <w:szCs w:val="24"/>
    </w:rPr>
  </w:style>
  <w:style w:type="paragraph" w:customStyle="1" w:styleId="E516A655D6BA4402B6419633AB3A57D03">
    <w:name w:val="E516A655D6BA4402B6419633AB3A57D03"/>
    <w:rsid w:val="00010976"/>
    <w:pPr>
      <w:bidi/>
      <w:spacing w:after="0" w:line="240" w:lineRule="auto"/>
    </w:pPr>
    <w:rPr>
      <w:rFonts w:ascii="Times New Roman" w:eastAsia="Times New Roman" w:hAnsi="Times New Roman" w:cs="David"/>
      <w:noProof/>
      <w:sz w:val="24"/>
      <w:szCs w:val="24"/>
    </w:rPr>
  </w:style>
  <w:style w:type="paragraph" w:customStyle="1" w:styleId="CFC05397738F4E5A80E642501E3521EE3">
    <w:name w:val="CFC05397738F4E5A80E642501E3521EE3"/>
    <w:rsid w:val="00010976"/>
    <w:pPr>
      <w:bidi/>
      <w:spacing w:after="0" w:line="240" w:lineRule="auto"/>
    </w:pPr>
    <w:rPr>
      <w:rFonts w:ascii="Times New Roman" w:eastAsia="Times New Roman" w:hAnsi="Times New Roman" w:cs="David"/>
      <w:noProof/>
      <w:sz w:val="24"/>
      <w:szCs w:val="24"/>
    </w:rPr>
  </w:style>
  <w:style w:type="paragraph" w:customStyle="1" w:styleId="90B0F759156647ACAD295D20FC97F03F3">
    <w:name w:val="90B0F759156647ACAD295D20FC97F03F3"/>
    <w:rsid w:val="00010976"/>
    <w:pPr>
      <w:bidi/>
      <w:spacing w:after="0" w:line="240" w:lineRule="auto"/>
    </w:pPr>
    <w:rPr>
      <w:rFonts w:ascii="Times New Roman" w:eastAsia="Times New Roman" w:hAnsi="Times New Roman" w:cs="David"/>
      <w:noProof/>
      <w:sz w:val="24"/>
      <w:szCs w:val="24"/>
    </w:rPr>
  </w:style>
  <w:style w:type="paragraph" w:customStyle="1" w:styleId="A32784E0CF004EEDBF07D7430B41A77E3">
    <w:name w:val="A32784E0CF004EEDBF07D7430B41A77E3"/>
    <w:rsid w:val="00010976"/>
    <w:pPr>
      <w:bidi/>
      <w:spacing w:after="0" w:line="240" w:lineRule="auto"/>
    </w:pPr>
    <w:rPr>
      <w:rFonts w:ascii="Times New Roman" w:eastAsia="Times New Roman" w:hAnsi="Times New Roman" w:cs="David"/>
      <w:noProof/>
      <w:sz w:val="24"/>
      <w:szCs w:val="24"/>
    </w:rPr>
  </w:style>
  <w:style w:type="paragraph" w:customStyle="1" w:styleId="2F0C8789261B416098B21975B972BEDE3">
    <w:name w:val="2F0C8789261B416098B21975B972BEDE3"/>
    <w:rsid w:val="00010976"/>
    <w:pPr>
      <w:bidi/>
      <w:spacing w:after="0" w:line="240" w:lineRule="auto"/>
    </w:pPr>
    <w:rPr>
      <w:rFonts w:ascii="Times New Roman" w:eastAsia="Times New Roman" w:hAnsi="Times New Roman" w:cs="David"/>
      <w:noProof/>
      <w:sz w:val="24"/>
      <w:szCs w:val="24"/>
    </w:rPr>
  </w:style>
  <w:style w:type="paragraph" w:customStyle="1" w:styleId="E460D38E05664FF79D4EFF282EF8EC9936">
    <w:name w:val="E460D38E05664FF79D4EFF282EF8EC9936"/>
    <w:rsid w:val="00010976"/>
    <w:pPr>
      <w:bidi/>
      <w:spacing w:after="0" w:line="240" w:lineRule="auto"/>
    </w:pPr>
    <w:rPr>
      <w:rFonts w:ascii="Times New Roman" w:eastAsia="Times New Roman" w:hAnsi="Times New Roman" w:cs="David"/>
      <w:noProof/>
      <w:sz w:val="24"/>
      <w:szCs w:val="24"/>
    </w:rPr>
  </w:style>
  <w:style w:type="paragraph" w:customStyle="1" w:styleId="6E9B64DE82404F9B827427D9CBC581D6">
    <w:name w:val="6E9B64DE82404F9B827427D9CBC581D6"/>
    <w:rsid w:val="005F1C8D"/>
    <w:pPr>
      <w:bidi/>
      <w:spacing w:after="160" w:line="259" w:lineRule="auto"/>
    </w:pPr>
  </w:style>
  <w:style w:type="paragraph" w:customStyle="1" w:styleId="CEBF8CAB19D1432190577F1B232F29DC">
    <w:name w:val="CEBF8CAB19D1432190577F1B232F29DC"/>
    <w:rsid w:val="005F1C8D"/>
    <w:pPr>
      <w:bidi/>
      <w:spacing w:after="160" w:line="259" w:lineRule="auto"/>
    </w:pPr>
  </w:style>
  <w:style w:type="paragraph" w:customStyle="1" w:styleId="486476043DCC42DE88A7E90AAA0A5F6E">
    <w:name w:val="486476043DCC42DE88A7E90AAA0A5F6E"/>
    <w:rsid w:val="005F1C8D"/>
    <w:pPr>
      <w:bidi/>
      <w:spacing w:after="160" w:line="259" w:lineRule="auto"/>
    </w:pPr>
  </w:style>
  <w:style w:type="paragraph" w:customStyle="1" w:styleId="6C5A84F1268D48BCB763E3FE0B847160">
    <w:name w:val="6C5A84F1268D48BCB763E3FE0B847160"/>
    <w:rsid w:val="005F1C8D"/>
    <w:pPr>
      <w:bidi/>
      <w:spacing w:after="160" w:line="259" w:lineRule="auto"/>
    </w:pPr>
  </w:style>
  <w:style w:type="paragraph" w:customStyle="1" w:styleId="CC98E272BE60499A9573555F2D3FBAF5">
    <w:name w:val="CC98E272BE60499A9573555F2D3FBAF5"/>
    <w:rsid w:val="005F1C8D"/>
    <w:pPr>
      <w:bidi/>
      <w:spacing w:after="160" w:line="259" w:lineRule="auto"/>
    </w:pPr>
  </w:style>
  <w:style w:type="paragraph" w:customStyle="1" w:styleId="F06F93A59E9F4240AEBCC820438BAFCF">
    <w:name w:val="F06F93A59E9F4240AEBCC820438BAFCF"/>
    <w:rsid w:val="005F1C8D"/>
    <w:pPr>
      <w:bidi/>
      <w:spacing w:after="160" w:line="259" w:lineRule="auto"/>
    </w:pPr>
  </w:style>
  <w:style w:type="paragraph" w:customStyle="1" w:styleId="A90AC82EC8B94BD7865F956EF503BBAD">
    <w:name w:val="A90AC82EC8B94BD7865F956EF503BBAD"/>
    <w:rsid w:val="005F1C8D"/>
    <w:pPr>
      <w:bidi/>
      <w:spacing w:after="160" w:line="259" w:lineRule="auto"/>
    </w:pPr>
  </w:style>
  <w:style w:type="paragraph" w:customStyle="1" w:styleId="CA411FF768504DE698B39B6C6B68DBCA">
    <w:name w:val="CA411FF768504DE698B39B6C6B68DBCA"/>
    <w:rsid w:val="005F1C8D"/>
    <w:pPr>
      <w:bidi/>
      <w:spacing w:after="160" w:line="259" w:lineRule="auto"/>
    </w:pPr>
  </w:style>
  <w:style w:type="paragraph" w:customStyle="1" w:styleId="14CE73BE419B448887D1F7C12CD5C3DE">
    <w:name w:val="14CE73BE419B448887D1F7C12CD5C3DE"/>
    <w:rsid w:val="005F1C8D"/>
    <w:pPr>
      <w:bidi/>
      <w:spacing w:after="160" w:line="259" w:lineRule="auto"/>
    </w:pPr>
  </w:style>
  <w:style w:type="paragraph" w:customStyle="1" w:styleId="27898690DA6B4C90AA8374F7637925A9">
    <w:name w:val="27898690DA6B4C90AA8374F7637925A9"/>
    <w:rsid w:val="005F1C8D"/>
    <w:pPr>
      <w:bidi/>
      <w:spacing w:after="160" w:line="259" w:lineRule="auto"/>
    </w:pPr>
  </w:style>
  <w:style w:type="paragraph" w:customStyle="1" w:styleId="C62771E0E4CF434682A071CB4FB6C3FA">
    <w:name w:val="C62771E0E4CF434682A071CB4FB6C3FA"/>
    <w:rsid w:val="005F1C8D"/>
    <w:pPr>
      <w:bidi/>
      <w:spacing w:after="160" w:line="259" w:lineRule="auto"/>
    </w:pPr>
  </w:style>
  <w:style w:type="paragraph" w:customStyle="1" w:styleId="4975FDB7C9824906A8EDDDC584D8F333">
    <w:name w:val="4975FDB7C9824906A8EDDDC584D8F333"/>
    <w:rsid w:val="005F1C8D"/>
    <w:pPr>
      <w:bidi/>
      <w:spacing w:after="160" w:line="259" w:lineRule="auto"/>
    </w:pPr>
  </w:style>
  <w:style w:type="paragraph" w:customStyle="1" w:styleId="DB11F48261404C87815507950762D31B">
    <w:name w:val="DB11F48261404C87815507950762D31B"/>
    <w:rsid w:val="005F1C8D"/>
    <w:pPr>
      <w:bidi/>
      <w:spacing w:after="160" w:line="259" w:lineRule="auto"/>
    </w:pPr>
  </w:style>
  <w:style w:type="paragraph" w:customStyle="1" w:styleId="0775C2ABC8734942821E9580B7CD52AB">
    <w:name w:val="0775C2ABC8734942821E9580B7CD52AB"/>
    <w:rsid w:val="005F1C8D"/>
    <w:pPr>
      <w:bidi/>
      <w:spacing w:after="160" w:line="259" w:lineRule="auto"/>
    </w:pPr>
  </w:style>
  <w:style w:type="paragraph" w:customStyle="1" w:styleId="AC934E0EF817441CB631F508445A1C72">
    <w:name w:val="AC934E0EF817441CB631F508445A1C72"/>
    <w:rsid w:val="005F1C8D"/>
    <w:pPr>
      <w:bidi/>
      <w:spacing w:after="160" w:line="259" w:lineRule="auto"/>
    </w:pPr>
  </w:style>
  <w:style w:type="paragraph" w:customStyle="1" w:styleId="57718C5BA61841D794B21F88803E1E63">
    <w:name w:val="57718C5BA61841D794B21F88803E1E63"/>
    <w:rsid w:val="005F1C8D"/>
    <w:pPr>
      <w:bidi/>
      <w:spacing w:after="160" w:line="259" w:lineRule="auto"/>
    </w:pPr>
  </w:style>
  <w:style w:type="paragraph" w:customStyle="1" w:styleId="3DCE8B5BEDA444F1ABDBF28E2B60C1F2">
    <w:name w:val="3DCE8B5BEDA444F1ABDBF28E2B60C1F2"/>
    <w:rsid w:val="005F1C8D"/>
    <w:pPr>
      <w:bidi/>
      <w:spacing w:after="160" w:line="259" w:lineRule="auto"/>
    </w:pPr>
  </w:style>
  <w:style w:type="paragraph" w:customStyle="1" w:styleId="3063793C11CD45E38AE9612680E7E24C">
    <w:name w:val="3063793C11CD45E38AE9612680E7E24C"/>
    <w:rsid w:val="005F1C8D"/>
    <w:pPr>
      <w:bidi/>
      <w:spacing w:after="160" w:line="259" w:lineRule="auto"/>
    </w:pPr>
  </w:style>
  <w:style w:type="paragraph" w:customStyle="1" w:styleId="0CE3232FC0A7453B91552AD24D6356EC">
    <w:name w:val="0CE3232FC0A7453B91552AD24D6356EC"/>
    <w:rsid w:val="005F1C8D"/>
    <w:pPr>
      <w:bidi/>
      <w:spacing w:after="160" w:line="259" w:lineRule="auto"/>
    </w:pPr>
  </w:style>
  <w:style w:type="paragraph" w:customStyle="1" w:styleId="0746682D744E43C9AA67B3EF2EC9F747">
    <w:name w:val="0746682D744E43C9AA67B3EF2EC9F747"/>
    <w:rsid w:val="005F1C8D"/>
    <w:pPr>
      <w:bidi/>
      <w:spacing w:after="160" w:line="259" w:lineRule="auto"/>
    </w:pPr>
  </w:style>
  <w:style w:type="paragraph" w:customStyle="1" w:styleId="266B6031A6DF49368D1A39C11D099690">
    <w:name w:val="266B6031A6DF49368D1A39C11D099690"/>
    <w:rsid w:val="005F1C8D"/>
    <w:pPr>
      <w:bidi/>
      <w:spacing w:after="160" w:line="259" w:lineRule="auto"/>
    </w:pPr>
  </w:style>
  <w:style w:type="paragraph" w:customStyle="1" w:styleId="9606C6A3114E4A80B8FCC2B7D49AD3DE">
    <w:name w:val="9606C6A3114E4A80B8FCC2B7D49AD3DE"/>
    <w:rsid w:val="005F1C8D"/>
    <w:pPr>
      <w:bidi/>
      <w:spacing w:after="160" w:line="259" w:lineRule="auto"/>
    </w:pPr>
  </w:style>
  <w:style w:type="paragraph" w:customStyle="1" w:styleId="EEC23A8385174C679D11DAA521780AFF">
    <w:name w:val="EEC23A8385174C679D11DAA521780AFF"/>
    <w:rsid w:val="005F1C8D"/>
    <w:pPr>
      <w:bidi/>
      <w:spacing w:after="160" w:line="259" w:lineRule="auto"/>
    </w:pPr>
  </w:style>
  <w:style w:type="paragraph" w:customStyle="1" w:styleId="2F7511B259E4414885D126CE0792B16E">
    <w:name w:val="2F7511B259E4414885D126CE0792B16E"/>
    <w:rsid w:val="005F1C8D"/>
    <w:pPr>
      <w:bidi/>
      <w:spacing w:after="160" w:line="259" w:lineRule="auto"/>
    </w:pPr>
  </w:style>
  <w:style w:type="paragraph" w:customStyle="1" w:styleId="E51E1DFD654740D484F70EDD1EA4FA2D">
    <w:name w:val="E51E1DFD654740D484F70EDD1EA4FA2D"/>
    <w:rsid w:val="005F1C8D"/>
    <w:pPr>
      <w:bidi/>
      <w:spacing w:after="160" w:line="259" w:lineRule="auto"/>
    </w:pPr>
  </w:style>
  <w:style w:type="paragraph" w:customStyle="1" w:styleId="8E48858722B44348B7754217E380155A">
    <w:name w:val="8E48858722B44348B7754217E380155A"/>
    <w:rsid w:val="005F1C8D"/>
    <w:pPr>
      <w:bidi/>
      <w:spacing w:after="160" w:line="259" w:lineRule="auto"/>
    </w:pPr>
  </w:style>
  <w:style w:type="paragraph" w:customStyle="1" w:styleId="BA71EA24FD0B4C98BBA8E6142560601B">
    <w:name w:val="BA71EA24FD0B4C98BBA8E6142560601B"/>
    <w:rsid w:val="005F1C8D"/>
    <w:pPr>
      <w:bidi/>
      <w:spacing w:after="160" w:line="259" w:lineRule="auto"/>
    </w:pPr>
  </w:style>
  <w:style w:type="paragraph" w:customStyle="1" w:styleId="7A7084BED64A463FA41F4F5E0FC692C8">
    <w:name w:val="7A7084BED64A463FA41F4F5E0FC692C8"/>
    <w:rsid w:val="005F1C8D"/>
    <w:pPr>
      <w:bidi/>
      <w:spacing w:after="160" w:line="259" w:lineRule="auto"/>
    </w:pPr>
  </w:style>
  <w:style w:type="paragraph" w:customStyle="1" w:styleId="468C623C90F2404FB0842275BB935BA3">
    <w:name w:val="468C623C90F2404FB0842275BB935BA3"/>
    <w:rsid w:val="005F1C8D"/>
    <w:pPr>
      <w:bidi/>
      <w:spacing w:after="160" w:line="259" w:lineRule="auto"/>
    </w:pPr>
  </w:style>
  <w:style w:type="paragraph" w:customStyle="1" w:styleId="D5F68AAFB16C4695ACB5E782F0E5EC2B">
    <w:name w:val="D5F68AAFB16C4695ACB5E782F0E5EC2B"/>
    <w:rsid w:val="005F1C8D"/>
    <w:pPr>
      <w:bidi/>
      <w:spacing w:after="160" w:line="259" w:lineRule="auto"/>
    </w:pPr>
  </w:style>
  <w:style w:type="paragraph" w:customStyle="1" w:styleId="C4BA336785714765B3F6D92DFA64251E">
    <w:name w:val="C4BA336785714765B3F6D92DFA64251E"/>
    <w:rsid w:val="005F1C8D"/>
    <w:pPr>
      <w:bidi/>
      <w:spacing w:after="160" w:line="259" w:lineRule="auto"/>
    </w:pPr>
  </w:style>
  <w:style w:type="paragraph" w:customStyle="1" w:styleId="0707E533FBFF4CEC8C847BAE588E8013">
    <w:name w:val="0707E533FBFF4CEC8C847BAE588E8013"/>
    <w:rsid w:val="005F1C8D"/>
    <w:pPr>
      <w:bidi/>
      <w:spacing w:after="160" w:line="259" w:lineRule="auto"/>
    </w:pPr>
  </w:style>
  <w:style w:type="paragraph" w:customStyle="1" w:styleId="E7107AEA636A46B09EF0E82E73BAC570">
    <w:name w:val="E7107AEA636A46B09EF0E82E73BAC570"/>
    <w:rsid w:val="005F1C8D"/>
    <w:pPr>
      <w:bidi/>
      <w:spacing w:after="160" w:line="259" w:lineRule="auto"/>
    </w:pPr>
  </w:style>
  <w:style w:type="paragraph" w:customStyle="1" w:styleId="0D104245A24547CFB3F2C5EF569F3110">
    <w:name w:val="0D104245A24547CFB3F2C5EF569F3110"/>
    <w:rsid w:val="005F1C8D"/>
    <w:pPr>
      <w:bidi/>
      <w:spacing w:after="160" w:line="259" w:lineRule="auto"/>
    </w:pPr>
  </w:style>
  <w:style w:type="paragraph" w:customStyle="1" w:styleId="34AFA2AA815C4606B29D8328193A9FAF">
    <w:name w:val="34AFA2AA815C4606B29D8328193A9FAF"/>
    <w:rsid w:val="005F1C8D"/>
    <w:pPr>
      <w:bidi/>
      <w:spacing w:after="160" w:line="259" w:lineRule="auto"/>
    </w:pPr>
  </w:style>
  <w:style w:type="paragraph" w:customStyle="1" w:styleId="1D7E9C58700943E698ACAD7A313FE530">
    <w:name w:val="1D7E9C58700943E698ACAD7A313FE530"/>
    <w:rsid w:val="005F1C8D"/>
    <w:pPr>
      <w:bidi/>
      <w:spacing w:after="160" w:line="259" w:lineRule="auto"/>
    </w:pPr>
  </w:style>
  <w:style w:type="paragraph" w:customStyle="1" w:styleId="7251215E5F6F4C56AB5BF84FF59EDEC4">
    <w:name w:val="7251215E5F6F4C56AB5BF84FF59EDEC4"/>
    <w:rsid w:val="005F1C8D"/>
    <w:pPr>
      <w:bidi/>
      <w:spacing w:after="160" w:line="259" w:lineRule="auto"/>
    </w:pPr>
  </w:style>
  <w:style w:type="paragraph" w:customStyle="1" w:styleId="E8A2AD312CFC4F0B90437C6C22661183">
    <w:name w:val="E8A2AD312CFC4F0B90437C6C22661183"/>
    <w:rsid w:val="005F1C8D"/>
    <w:pPr>
      <w:bidi/>
      <w:spacing w:after="160" w:line="259" w:lineRule="auto"/>
    </w:pPr>
  </w:style>
  <w:style w:type="paragraph" w:customStyle="1" w:styleId="047B9D7C22A446E3961C92C7453A032E">
    <w:name w:val="047B9D7C22A446E3961C92C7453A032E"/>
    <w:rsid w:val="005F1C8D"/>
    <w:pPr>
      <w:bidi/>
      <w:spacing w:after="160" w:line="259" w:lineRule="auto"/>
    </w:pPr>
  </w:style>
  <w:style w:type="paragraph" w:customStyle="1" w:styleId="E5AB823215EF42438B480D8ABFE9AEA1">
    <w:name w:val="E5AB823215EF42438B480D8ABFE9AEA1"/>
    <w:rsid w:val="005F1C8D"/>
    <w:pPr>
      <w:bidi/>
      <w:spacing w:after="160" w:line="259" w:lineRule="auto"/>
    </w:pPr>
  </w:style>
  <w:style w:type="paragraph" w:customStyle="1" w:styleId="E0402C61FEF8403A9E2A306D263F1547">
    <w:name w:val="E0402C61FEF8403A9E2A306D263F1547"/>
    <w:rsid w:val="005F1C8D"/>
    <w:pPr>
      <w:bidi/>
      <w:spacing w:after="160" w:line="259" w:lineRule="auto"/>
    </w:pPr>
  </w:style>
  <w:style w:type="paragraph" w:customStyle="1" w:styleId="965702558FC24801A9B310052FBDF624">
    <w:name w:val="965702558FC24801A9B310052FBDF624"/>
    <w:rsid w:val="005F1C8D"/>
    <w:pPr>
      <w:bidi/>
      <w:spacing w:after="160" w:line="259" w:lineRule="auto"/>
    </w:pPr>
  </w:style>
  <w:style w:type="paragraph" w:customStyle="1" w:styleId="A31CB7A2DB394CEAB6726F70B23689EA">
    <w:name w:val="A31CB7A2DB394CEAB6726F70B23689EA"/>
    <w:rsid w:val="005F1C8D"/>
    <w:pPr>
      <w:bidi/>
      <w:spacing w:after="160" w:line="259" w:lineRule="auto"/>
    </w:pPr>
  </w:style>
  <w:style w:type="paragraph" w:customStyle="1" w:styleId="C0956EC9ECC14FB88B44ABFE3FB9987D">
    <w:name w:val="C0956EC9ECC14FB88B44ABFE3FB9987D"/>
    <w:rsid w:val="005F1C8D"/>
    <w:pPr>
      <w:bidi/>
      <w:spacing w:after="160" w:line="259" w:lineRule="auto"/>
    </w:pPr>
  </w:style>
  <w:style w:type="paragraph" w:customStyle="1" w:styleId="5C75CD899DBA40E5ADA9E84C158720EE">
    <w:name w:val="5C75CD899DBA40E5ADA9E84C158720EE"/>
    <w:rsid w:val="005F1C8D"/>
    <w:pPr>
      <w:bidi/>
      <w:spacing w:after="160" w:line="259" w:lineRule="auto"/>
    </w:pPr>
  </w:style>
  <w:style w:type="paragraph" w:customStyle="1" w:styleId="339160BEB6814720AF40E4FBE094DF4E">
    <w:name w:val="339160BEB6814720AF40E4FBE094DF4E"/>
    <w:rsid w:val="005F1C8D"/>
    <w:pPr>
      <w:bidi/>
      <w:spacing w:after="160" w:line="259" w:lineRule="auto"/>
    </w:pPr>
  </w:style>
  <w:style w:type="paragraph" w:customStyle="1" w:styleId="7CDE174BBE6B474BB7C0E3EC7A1DB8EC">
    <w:name w:val="7CDE174BBE6B474BB7C0E3EC7A1DB8EC"/>
    <w:rsid w:val="005F1C8D"/>
    <w:pPr>
      <w:bidi/>
      <w:spacing w:after="160" w:line="259" w:lineRule="auto"/>
    </w:pPr>
  </w:style>
  <w:style w:type="paragraph" w:customStyle="1" w:styleId="2610D7B825F6491EA68CC7B0FF656C5E">
    <w:name w:val="2610D7B825F6491EA68CC7B0FF656C5E"/>
    <w:rsid w:val="005F1C8D"/>
    <w:pPr>
      <w:bidi/>
      <w:spacing w:after="160" w:line="259" w:lineRule="auto"/>
    </w:pPr>
  </w:style>
  <w:style w:type="paragraph" w:customStyle="1" w:styleId="048968D56E824276B40D45C9E497E7CB">
    <w:name w:val="048968D56E824276B40D45C9E497E7CB"/>
    <w:rsid w:val="005F1C8D"/>
    <w:pPr>
      <w:bidi/>
      <w:spacing w:after="160" w:line="259" w:lineRule="auto"/>
    </w:pPr>
  </w:style>
  <w:style w:type="paragraph" w:customStyle="1" w:styleId="71B30CB7E85E4ABF9CD3B46307F9A352">
    <w:name w:val="71B30CB7E85E4ABF9CD3B46307F9A352"/>
    <w:rsid w:val="005F1C8D"/>
    <w:pPr>
      <w:bidi/>
      <w:spacing w:after="160" w:line="259" w:lineRule="auto"/>
    </w:pPr>
  </w:style>
  <w:style w:type="paragraph" w:customStyle="1" w:styleId="6E9B64DE82404F9B827427D9CBC581D61">
    <w:name w:val="6E9B64DE82404F9B827427D9CBC581D61"/>
    <w:rsid w:val="001437D3"/>
    <w:pPr>
      <w:bidi/>
      <w:spacing w:after="0" w:line="240" w:lineRule="auto"/>
    </w:pPr>
    <w:rPr>
      <w:rFonts w:ascii="Times New Roman" w:eastAsia="Times New Roman" w:hAnsi="Times New Roman" w:cs="David"/>
      <w:noProof/>
      <w:sz w:val="24"/>
      <w:szCs w:val="24"/>
    </w:rPr>
  </w:style>
  <w:style w:type="paragraph" w:customStyle="1" w:styleId="4975FDB7C9824906A8EDDDC584D8F3331">
    <w:name w:val="4975FDB7C9824906A8EDDDC584D8F3331"/>
    <w:rsid w:val="001437D3"/>
    <w:pPr>
      <w:bidi/>
      <w:spacing w:after="0" w:line="240" w:lineRule="auto"/>
    </w:pPr>
    <w:rPr>
      <w:rFonts w:ascii="Times New Roman" w:eastAsia="Times New Roman" w:hAnsi="Times New Roman" w:cs="David"/>
      <w:noProof/>
      <w:sz w:val="24"/>
      <w:szCs w:val="24"/>
    </w:rPr>
  </w:style>
  <w:style w:type="paragraph" w:customStyle="1" w:styleId="A31CB7A2DB394CEAB6726F70B23689EA1">
    <w:name w:val="A31CB7A2DB394CEAB6726F70B23689EA1"/>
    <w:rsid w:val="001437D3"/>
    <w:pPr>
      <w:bidi/>
      <w:spacing w:after="0" w:line="240" w:lineRule="auto"/>
    </w:pPr>
    <w:rPr>
      <w:rFonts w:ascii="Times New Roman" w:eastAsia="Times New Roman" w:hAnsi="Times New Roman" w:cs="David"/>
      <w:noProof/>
      <w:sz w:val="24"/>
      <w:szCs w:val="24"/>
    </w:rPr>
  </w:style>
  <w:style w:type="paragraph" w:customStyle="1" w:styleId="5C75CD899DBA40E5ADA9E84C158720EE1">
    <w:name w:val="5C75CD899DBA40E5ADA9E84C158720EE1"/>
    <w:rsid w:val="001437D3"/>
    <w:pPr>
      <w:bidi/>
      <w:spacing w:after="0" w:line="240" w:lineRule="auto"/>
    </w:pPr>
    <w:rPr>
      <w:rFonts w:ascii="Times New Roman" w:eastAsia="Times New Roman" w:hAnsi="Times New Roman" w:cs="David"/>
      <w:noProof/>
      <w:sz w:val="24"/>
      <w:szCs w:val="24"/>
    </w:rPr>
  </w:style>
  <w:style w:type="paragraph" w:customStyle="1" w:styleId="7CDE174BBE6B474BB7C0E3EC7A1DB8EC1">
    <w:name w:val="7CDE174BBE6B474BB7C0E3EC7A1DB8EC1"/>
    <w:rsid w:val="001437D3"/>
    <w:pPr>
      <w:bidi/>
      <w:spacing w:after="0" w:line="240" w:lineRule="auto"/>
    </w:pPr>
    <w:rPr>
      <w:rFonts w:ascii="Times New Roman" w:eastAsia="Times New Roman" w:hAnsi="Times New Roman" w:cs="David"/>
      <w:noProof/>
      <w:sz w:val="24"/>
      <w:szCs w:val="24"/>
    </w:rPr>
  </w:style>
  <w:style w:type="paragraph" w:customStyle="1" w:styleId="2610D7B825F6491EA68CC7B0FF656C5E1">
    <w:name w:val="2610D7B825F6491EA68CC7B0FF656C5E1"/>
    <w:rsid w:val="001437D3"/>
    <w:pPr>
      <w:bidi/>
      <w:spacing w:after="0" w:line="240" w:lineRule="auto"/>
    </w:pPr>
    <w:rPr>
      <w:rFonts w:ascii="Times New Roman" w:eastAsia="Times New Roman" w:hAnsi="Times New Roman" w:cs="David"/>
      <w:noProof/>
      <w:sz w:val="24"/>
      <w:szCs w:val="24"/>
    </w:rPr>
  </w:style>
  <w:style w:type="paragraph" w:customStyle="1" w:styleId="048968D56E824276B40D45C9E497E7CB1">
    <w:name w:val="048968D56E824276B40D45C9E497E7CB1"/>
    <w:rsid w:val="001437D3"/>
    <w:pPr>
      <w:bidi/>
      <w:spacing w:after="0" w:line="240" w:lineRule="auto"/>
    </w:pPr>
    <w:rPr>
      <w:rFonts w:ascii="Times New Roman" w:eastAsia="Times New Roman" w:hAnsi="Times New Roman" w:cs="David"/>
      <w:noProof/>
      <w:sz w:val="24"/>
      <w:szCs w:val="24"/>
    </w:rPr>
  </w:style>
  <w:style w:type="paragraph" w:customStyle="1" w:styleId="71B30CB7E85E4ABF9CD3B46307F9A3521">
    <w:name w:val="71B30CB7E85E4ABF9CD3B46307F9A3521"/>
    <w:rsid w:val="001437D3"/>
    <w:pPr>
      <w:bidi/>
      <w:spacing w:after="0" w:line="240" w:lineRule="auto"/>
    </w:pPr>
    <w:rPr>
      <w:rFonts w:ascii="Times New Roman" w:eastAsia="Times New Roman" w:hAnsi="Times New Roman" w:cs="David"/>
      <w:noProof/>
      <w:sz w:val="24"/>
      <w:szCs w:val="24"/>
    </w:rPr>
  </w:style>
  <w:style w:type="paragraph" w:customStyle="1" w:styleId="E460D38E05664FF79D4EFF282EF8EC9937">
    <w:name w:val="E460D38E05664FF79D4EFF282EF8EC9937"/>
    <w:rsid w:val="001437D3"/>
    <w:pPr>
      <w:bidi/>
      <w:spacing w:after="0" w:line="240" w:lineRule="auto"/>
    </w:pPr>
    <w:rPr>
      <w:rFonts w:ascii="Times New Roman" w:eastAsia="Times New Roman" w:hAnsi="Times New Roman" w:cs="David"/>
      <w:noProof/>
      <w:sz w:val="24"/>
      <w:szCs w:val="24"/>
    </w:rPr>
  </w:style>
  <w:style w:type="paragraph" w:customStyle="1" w:styleId="6E9B64DE82404F9B827427D9CBC581D62">
    <w:name w:val="6E9B64DE82404F9B827427D9CBC581D62"/>
    <w:rsid w:val="00837871"/>
    <w:pPr>
      <w:bidi/>
      <w:spacing w:after="0" w:line="240" w:lineRule="auto"/>
    </w:pPr>
    <w:rPr>
      <w:rFonts w:ascii="Times New Roman" w:eastAsia="Times New Roman" w:hAnsi="Times New Roman" w:cs="David"/>
      <w:noProof/>
      <w:sz w:val="24"/>
      <w:szCs w:val="24"/>
    </w:rPr>
  </w:style>
  <w:style w:type="paragraph" w:customStyle="1" w:styleId="4975FDB7C9824906A8EDDDC584D8F3332">
    <w:name w:val="4975FDB7C9824906A8EDDDC584D8F3332"/>
    <w:rsid w:val="00837871"/>
    <w:pPr>
      <w:bidi/>
      <w:spacing w:after="0" w:line="240" w:lineRule="auto"/>
    </w:pPr>
    <w:rPr>
      <w:rFonts w:ascii="Times New Roman" w:eastAsia="Times New Roman" w:hAnsi="Times New Roman" w:cs="David"/>
      <w:noProof/>
      <w:sz w:val="24"/>
      <w:szCs w:val="24"/>
    </w:rPr>
  </w:style>
  <w:style w:type="paragraph" w:customStyle="1" w:styleId="A31CB7A2DB394CEAB6726F70B23689EA2">
    <w:name w:val="A31CB7A2DB394CEAB6726F70B23689EA2"/>
    <w:rsid w:val="00837871"/>
    <w:pPr>
      <w:bidi/>
      <w:spacing w:after="0" w:line="240" w:lineRule="auto"/>
    </w:pPr>
    <w:rPr>
      <w:rFonts w:ascii="Times New Roman" w:eastAsia="Times New Roman" w:hAnsi="Times New Roman" w:cs="David"/>
      <w:noProof/>
      <w:sz w:val="24"/>
      <w:szCs w:val="24"/>
    </w:rPr>
  </w:style>
  <w:style w:type="paragraph" w:customStyle="1" w:styleId="5C75CD899DBA40E5ADA9E84C158720EE2">
    <w:name w:val="5C75CD899DBA40E5ADA9E84C158720EE2"/>
    <w:rsid w:val="00837871"/>
    <w:pPr>
      <w:bidi/>
      <w:spacing w:after="0" w:line="240" w:lineRule="auto"/>
    </w:pPr>
    <w:rPr>
      <w:rFonts w:ascii="Times New Roman" w:eastAsia="Times New Roman" w:hAnsi="Times New Roman" w:cs="David"/>
      <w:noProof/>
      <w:sz w:val="24"/>
      <w:szCs w:val="24"/>
    </w:rPr>
  </w:style>
  <w:style w:type="paragraph" w:customStyle="1" w:styleId="7CDE174BBE6B474BB7C0E3EC7A1DB8EC2">
    <w:name w:val="7CDE174BBE6B474BB7C0E3EC7A1DB8EC2"/>
    <w:rsid w:val="00837871"/>
    <w:pPr>
      <w:bidi/>
      <w:spacing w:after="0" w:line="240" w:lineRule="auto"/>
    </w:pPr>
    <w:rPr>
      <w:rFonts w:ascii="Times New Roman" w:eastAsia="Times New Roman" w:hAnsi="Times New Roman" w:cs="David"/>
      <w:noProof/>
      <w:sz w:val="24"/>
      <w:szCs w:val="24"/>
    </w:rPr>
  </w:style>
  <w:style w:type="paragraph" w:customStyle="1" w:styleId="2610D7B825F6491EA68CC7B0FF656C5E2">
    <w:name w:val="2610D7B825F6491EA68CC7B0FF656C5E2"/>
    <w:rsid w:val="00837871"/>
    <w:pPr>
      <w:bidi/>
      <w:spacing w:after="0" w:line="240" w:lineRule="auto"/>
    </w:pPr>
    <w:rPr>
      <w:rFonts w:ascii="Times New Roman" w:eastAsia="Times New Roman" w:hAnsi="Times New Roman" w:cs="David"/>
      <w:noProof/>
      <w:sz w:val="24"/>
      <w:szCs w:val="24"/>
    </w:rPr>
  </w:style>
  <w:style w:type="paragraph" w:customStyle="1" w:styleId="048968D56E824276B40D45C9E497E7CB2">
    <w:name w:val="048968D56E824276B40D45C9E497E7CB2"/>
    <w:rsid w:val="00837871"/>
    <w:pPr>
      <w:bidi/>
      <w:spacing w:after="0" w:line="240" w:lineRule="auto"/>
    </w:pPr>
    <w:rPr>
      <w:rFonts w:ascii="Times New Roman" w:eastAsia="Times New Roman" w:hAnsi="Times New Roman" w:cs="David"/>
      <w:noProof/>
      <w:sz w:val="24"/>
      <w:szCs w:val="24"/>
    </w:rPr>
  </w:style>
  <w:style w:type="paragraph" w:customStyle="1" w:styleId="71B30CB7E85E4ABF9CD3B46307F9A3522">
    <w:name w:val="71B30CB7E85E4ABF9CD3B46307F9A3522"/>
    <w:rsid w:val="00837871"/>
    <w:pPr>
      <w:bidi/>
      <w:spacing w:after="0" w:line="240" w:lineRule="auto"/>
    </w:pPr>
    <w:rPr>
      <w:rFonts w:ascii="Times New Roman" w:eastAsia="Times New Roman" w:hAnsi="Times New Roman" w:cs="David"/>
      <w:noProof/>
      <w:sz w:val="24"/>
      <w:szCs w:val="24"/>
    </w:rPr>
  </w:style>
  <w:style w:type="paragraph" w:customStyle="1" w:styleId="E460D38E05664FF79D4EFF282EF8EC9938">
    <w:name w:val="E460D38E05664FF79D4EFF282EF8EC9938"/>
    <w:rsid w:val="00837871"/>
    <w:pPr>
      <w:bidi/>
      <w:spacing w:after="0" w:line="240" w:lineRule="auto"/>
    </w:pPr>
    <w:rPr>
      <w:rFonts w:ascii="Times New Roman" w:eastAsia="Times New Roman" w:hAnsi="Times New Roman" w:cs="David"/>
      <w:noProof/>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22</Pages>
  <Words>7470</Words>
  <Characters>37350</Characters>
  <Application>Microsoft Office Word</Application>
  <DocSecurity>0</DocSecurity>
  <Lines>311</Lines>
  <Paragraphs>89</Paragraphs>
  <ScaleCrop>false</ScaleCrop>
  <HeadingPairs>
    <vt:vector size="2" baseType="variant">
      <vt:variant>
        <vt:lpstr>שם</vt:lpstr>
      </vt:variant>
      <vt:variant>
        <vt:i4>1</vt:i4>
      </vt:variant>
    </vt:vector>
  </HeadingPairs>
  <TitlesOfParts>
    <vt:vector size="1" baseType="lpstr">
      <vt:lpstr/>
    </vt:vector>
  </TitlesOfParts>
  <Company>Microsoft Corporation</Company>
  <LinksUpToDate>false</LinksUpToDate>
  <CharactersWithSpaces>44731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anatk</dc:creator>
  <cp:keywords/>
  <dc:description/>
  <cp:lastModifiedBy>אלישי בן יצחק</cp:lastModifiedBy>
  <cp:revision>163</cp:revision>
  <dcterms:created xsi:type="dcterms:W3CDTF">2012-08-06T05:16:00Z</dcterms:created>
  <dcterms:modified xsi:type="dcterms:W3CDTF">2026-08-03T13:56:00Z</dcterms:modified>
</cp:coreProperties>
</file>

<file path=docProps/custom.xml><?xml version="1.0" encoding="utf-8"?>
<op:Properties xmlns:vt="http://schemas.openxmlformats.org/officeDocument/2006/docPropsVTypes" xmlns:op="http://schemas.openxmlformats.org/officeDocument/2006/custom-properties"/>
</file>